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15585" w14:textId="1A0D0589" w:rsidR="00FD192F" w:rsidRDefault="00406FE9" w:rsidP="00F43C8E">
      <w:pPr>
        <w:pStyle w:val="Title"/>
        <w:rPr>
          <w:rFonts w:ascii="Gotham Book" w:hAnsi="Gotham Book"/>
        </w:rPr>
      </w:pPr>
      <w:r w:rsidRPr="00646746">
        <w:rPr>
          <w:rFonts w:ascii="Gotham Book" w:hAnsi="Gotham Book"/>
        </w:rPr>
        <w:t>Evidence to decision</w:t>
      </w:r>
      <w:r w:rsidR="003B3F06" w:rsidRPr="00646746">
        <w:rPr>
          <w:rFonts w:ascii="Gotham Book" w:hAnsi="Gotham Book"/>
        </w:rPr>
        <w:t xml:space="preserve"> and making recommendations</w:t>
      </w:r>
    </w:p>
    <w:p w14:paraId="47050CFA" w14:textId="6260C649" w:rsidR="00C66AFF" w:rsidRDefault="00364EF5" w:rsidP="00646746">
      <w:pPr>
        <w:rPr>
          <w:rFonts w:ascii="Gotham Book" w:hAnsi="Gotham Book"/>
          <w:sz w:val="28"/>
          <w:szCs w:val="28"/>
        </w:rPr>
      </w:pPr>
      <w:r w:rsidRPr="00646746">
        <w:rPr>
          <w:rFonts w:ascii="Gotham Book" w:hAnsi="Gotham Book"/>
          <w:sz w:val="28"/>
          <w:szCs w:val="28"/>
        </w:rPr>
        <w:t>Evidence to decision and making recommendations</w:t>
      </w:r>
    </w:p>
    <w:p w14:paraId="3DCF69F0" w14:textId="71F04FDC" w:rsidR="00D65960" w:rsidRPr="00D87A30" w:rsidRDefault="00D65960" w:rsidP="00D65960">
      <w:pPr>
        <w:rPr>
          <w:rFonts w:ascii="Gotham Book" w:hAnsi="Gotham Book"/>
        </w:rPr>
      </w:pPr>
      <w:r>
        <w:rPr>
          <w:rFonts w:ascii="Gotham Book" w:hAnsi="Gotham Book"/>
        </w:rPr>
        <w:t xml:space="preserve">Ensuring </w:t>
      </w:r>
      <w:r w:rsidRPr="00646746">
        <w:rPr>
          <w:rFonts w:ascii="Gotham Book" w:hAnsi="Gotham Book"/>
        </w:rPr>
        <w:t xml:space="preserve">guideline development groups </w:t>
      </w:r>
      <w:r w:rsidR="0079145A">
        <w:rPr>
          <w:rFonts w:ascii="Gotham Book" w:hAnsi="Gotham Book"/>
        </w:rPr>
        <w:t>follow</w:t>
      </w:r>
      <w:r w:rsidRPr="00646746">
        <w:rPr>
          <w:rFonts w:ascii="Gotham Book" w:hAnsi="Gotham Book"/>
        </w:rPr>
        <w:t xml:space="preserve"> a systematic and transparent </w:t>
      </w:r>
      <w:r w:rsidRPr="00D87A30">
        <w:rPr>
          <w:rFonts w:ascii="Gotham Book" w:hAnsi="Gotham Book"/>
        </w:rPr>
        <w:t xml:space="preserve">approach to making recommendations from a body of evidence. </w:t>
      </w:r>
    </w:p>
    <w:p w14:paraId="6E14C36B" w14:textId="77777777" w:rsidR="00D65960" w:rsidRPr="00EB35E3" w:rsidRDefault="00D65960" w:rsidP="00646746">
      <w:pPr>
        <w:rPr>
          <w:rFonts w:ascii="Gotham Book" w:hAnsi="Gotham Book"/>
          <w:sz w:val="28"/>
          <w:szCs w:val="28"/>
        </w:rPr>
      </w:pPr>
    </w:p>
    <w:bookmarkStart w:id="0" w:name="_Toc497119411" w:displacedByCustomXml="next"/>
    <w:bookmarkStart w:id="1" w:name="_Toc491948063" w:displacedByCustomXml="next"/>
    <w:sdt>
      <w:sdtPr>
        <w:rPr>
          <w:rFonts w:asciiTheme="minorHAnsi" w:eastAsiaTheme="minorEastAsia" w:hAnsiTheme="minorHAnsi" w:cstheme="minorBidi"/>
          <w:b w:val="0"/>
          <w:color w:val="auto"/>
          <w:sz w:val="22"/>
          <w:szCs w:val="22"/>
          <w:lang w:val="en-AU" w:eastAsia="en-US"/>
        </w:rPr>
        <w:id w:val="1642771116"/>
        <w:docPartObj>
          <w:docPartGallery w:val="Table of Contents"/>
          <w:docPartUnique/>
        </w:docPartObj>
      </w:sdtPr>
      <w:sdtEndPr>
        <w:rPr>
          <w:bCs w:val="0"/>
        </w:rPr>
      </w:sdtEndPr>
      <w:sdtContent>
        <w:p w14:paraId="74A8DAAF" w14:textId="6ED82A92" w:rsidR="007B3996" w:rsidRPr="00EB35E3" w:rsidRDefault="00406FE9">
          <w:pPr>
            <w:pStyle w:val="TOCHeading"/>
          </w:pPr>
          <w:r w:rsidRPr="00EB35E3">
            <w:t>Contents</w:t>
          </w:r>
        </w:p>
        <w:p w14:paraId="7A5EE67B" w14:textId="67268D7E" w:rsidR="00EB35E3" w:rsidRPr="00EB35E3" w:rsidRDefault="006509D4">
          <w:pPr>
            <w:pStyle w:val="TOC1"/>
            <w:rPr>
              <w:rFonts w:ascii="Gotham Book" w:eastAsiaTheme="minorEastAsia" w:hAnsi="Gotham Book"/>
              <w:noProof/>
              <w:kern w:val="2"/>
              <w:sz w:val="24"/>
              <w:szCs w:val="24"/>
              <w:lang w:eastAsia="en-AU"/>
              <w14:ligatures w14:val="standardContextual"/>
            </w:rPr>
          </w:pPr>
          <w:r w:rsidRPr="00EB35E3">
            <w:rPr>
              <w:rFonts w:ascii="Gotham Book" w:hAnsi="Gotham Book" w:cstheme="minorHAnsi"/>
              <w:b/>
            </w:rPr>
            <w:fldChar w:fldCharType="begin"/>
          </w:r>
          <w:r w:rsidRPr="00EB35E3">
            <w:rPr>
              <w:rFonts w:ascii="Gotham Book" w:hAnsi="Gotham Book" w:cstheme="minorHAnsi"/>
              <w:b/>
            </w:rPr>
            <w:instrText xml:space="preserve"> TOC \o "1-3" \h \z \u </w:instrText>
          </w:r>
          <w:r w:rsidRPr="00EB35E3">
            <w:rPr>
              <w:rFonts w:ascii="Gotham Book" w:hAnsi="Gotham Book" w:cstheme="minorHAnsi"/>
              <w:b/>
            </w:rPr>
            <w:fldChar w:fldCharType="separate"/>
          </w:r>
          <w:hyperlink w:anchor="_Toc184284422" w:history="1">
            <w:r w:rsidR="00EB35E3" w:rsidRPr="00EB35E3">
              <w:rPr>
                <w:rStyle w:val="Hyperlink"/>
                <w:rFonts w:ascii="Gotham Book" w:hAnsi="Gotham Book"/>
                <w:noProof/>
              </w:rPr>
              <w:t>Overview</w:t>
            </w:r>
            <w:r w:rsidR="00EB35E3" w:rsidRPr="00EB35E3">
              <w:rPr>
                <w:rFonts w:ascii="Gotham Book" w:hAnsi="Gotham Book"/>
                <w:noProof/>
                <w:webHidden/>
              </w:rPr>
              <w:tab/>
            </w:r>
            <w:r w:rsidR="00EB35E3" w:rsidRPr="00EB35E3">
              <w:rPr>
                <w:rFonts w:ascii="Gotham Book" w:hAnsi="Gotham Book"/>
                <w:noProof/>
                <w:webHidden/>
              </w:rPr>
              <w:fldChar w:fldCharType="begin"/>
            </w:r>
            <w:r w:rsidR="00EB35E3" w:rsidRPr="00EB35E3">
              <w:rPr>
                <w:rFonts w:ascii="Gotham Book" w:hAnsi="Gotham Book"/>
                <w:noProof/>
                <w:webHidden/>
              </w:rPr>
              <w:instrText xml:space="preserve"> PAGEREF _Toc184284422 \h </w:instrText>
            </w:r>
            <w:r w:rsidR="00EB35E3" w:rsidRPr="00EB35E3">
              <w:rPr>
                <w:rFonts w:ascii="Gotham Book" w:hAnsi="Gotham Book"/>
                <w:noProof/>
                <w:webHidden/>
              </w:rPr>
            </w:r>
            <w:r w:rsidR="00EB35E3" w:rsidRPr="00EB35E3">
              <w:rPr>
                <w:rFonts w:ascii="Gotham Book" w:hAnsi="Gotham Book"/>
                <w:noProof/>
                <w:webHidden/>
              </w:rPr>
              <w:fldChar w:fldCharType="separate"/>
            </w:r>
            <w:r w:rsidR="00EB35E3" w:rsidRPr="00EB35E3">
              <w:rPr>
                <w:rFonts w:ascii="Gotham Book" w:hAnsi="Gotham Book"/>
                <w:noProof/>
                <w:webHidden/>
              </w:rPr>
              <w:t>1</w:t>
            </w:r>
            <w:r w:rsidR="00EB35E3" w:rsidRPr="00EB35E3">
              <w:rPr>
                <w:rFonts w:ascii="Gotham Book" w:hAnsi="Gotham Book"/>
                <w:noProof/>
                <w:webHidden/>
              </w:rPr>
              <w:fldChar w:fldCharType="end"/>
            </w:r>
          </w:hyperlink>
        </w:p>
        <w:p w14:paraId="25BCE49C" w14:textId="16635A0B" w:rsidR="00EB35E3" w:rsidRPr="00EB35E3" w:rsidRDefault="00EB35E3">
          <w:pPr>
            <w:pStyle w:val="TOC1"/>
            <w:rPr>
              <w:rFonts w:ascii="Gotham Book" w:eastAsiaTheme="minorEastAsia" w:hAnsi="Gotham Book"/>
              <w:noProof/>
              <w:kern w:val="2"/>
              <w:sz w:val="24"/>
              <w:szCs w:val="24"/>
              <w:lang w:eastAsia="en-AU"/>
              <w14:ligatures w14:val="standardContextual"/>
            </w:rPr>
          </w:pPr>
          <w:hyperlink w:anchor="_Toc184284423" w:history="1">
            <w:r w:rsidRPr="00EB35E3">
              <w:rPr>
                <w:rStyle w:val="Hyperlink"/>
                <w:rFonts w:ascii="Gotham Book" w:hAnsi="Gotham Book"/>
                <w:noProof/>
              </w:rPr>
              <w:t>What to do</w:t>
            </w:r>
            <w:r w:rsidRPr="00EB35E3">
              <w:rPr>
                <w:rFonts w:ascii="Gotham Book" w:hAnsi="Gotham Book"/>
                <w:noProof/>
                <w:webHidden/>
              </w:rPr>
              <w:tab/>
            </w:r>
            <w:r w:rsidRPr="00EB35E3">
              <w:rPr>
                <w:rFonts w:ascii="Gotham Book" w:hAnsi="Gotham Book"/>
                <w:noProof/>
                <w:webHidden/>
              </w:rPr>
              <w:fldChar w:fldCharType="begin"/>
            </w:r>
            <w:r w:rsidRPr="00EB35E3">
              <w:rPr>
                <w:rFonts w:ascii="Gotham Book" w:hAnsi="Gotham Book"/>
                <w:noProof/>
                <w:webHidden/>
              </w:rPr>
              <w:instrText xml:space="preserve"> PAGEREF _Toc184284423 \h </w:instrText>
            </w:r>
            <w:r w:rsidRPr="00EB35E3">
              <w:rPr>
                <w:rFonts w:ascii="Gotham Book" w:hAnsi="Gotham Book"/>
                <w:noProof/>
                <w:webHidden/>
              </w:rPr>
            </w:r>
            <w:r w:rsidRPr="00EB35E3">
              <w:rPr>
                <w:rFonts w:ascii="Gotham Book" w:hAnsi="Gotham Book"/>
                <w:noProof/>
                <w:webHidden/>
              </w:rPr>
              <w:fldChar w:fldCharType="separate"/>
            </w:r>
            <w:r w:rsidRPr="00EB35E3">
              <w:rPr>
                <w:rFonts w:ascii="Gotham Book" w:hAnsi="Gotham Book"/>
                <w:noProof/>
                <w:webHidden/>
              </w:rPr>
              <w:t>3</w:t>
            </w:r>
            <w:r w:rsidRPr="00EB35E3">
              <w:rPr>
                <w:rFonts w:ascii="Gotham Book" w:hAnsi="Gotham Book"/>
                <w:noProof/>
                <w:webHidden/>
              </w:rPr>
              <w:fldChar w:fldCharType="end"/>
            </w:r>
          </w:hyperlink>
        </w:p>
        <w:p w14:paraId="5A9B0C1D" w14:textId="64A6274B" w:rsidR="00EB35E3" w:rsidRPr="00EB35E3" w:rsidRDefault="00EB35E3">
          <w:pPr>
            <w:pStyle w:val="TOC2"/>
            <w:tabs>
              <w:tab w:val="left" w:pos="720"/>
              <w:tab w:val="right" w:leader="dot" w:pos="9016"/>
            </w:tabs>
            <w:rPr>
              <w:rFonts w:ascii="Gotham Book" w:eastAsiaTheme="minorEastAsia" w:hAnsi="Gotham Book"/>
              <w:noProof/>
              <w:kern w:val="2"/>
              <w:sz w:val="24"/>
              <w:szCs w:val="24"/>
              <w:lang w:eastAsia="en-AU"/>
              <w14:ligatures w14:val="standardContextual"/>
            </w:rPr>
          </w:pPr>
          <w:hyperlink w:anchor="_Toc184284424" w:history="1">
            <w:r w:rsidRPr="00EB35E3">
              <w:rPr>
                <w:rStyle w:val="Hyperlink"/>
                <w:rFonts w:ascii="Gotham Book" w:hAnsi="Gotham Book"/>
                <w:noProof/>
              </w:rPr>
              <w:t>1.</w:t>
            </w:r>
            <w:r w:rsidRPr="00EB35E3">
              <w:rPr>
                <w:rFonts w:ascii="Gotham Book" w:eastAsiaTheme="minorEastAsia" w:hAnsi="Gotham Book"/>
                <w:noProof/>
                <w:kern w:val="2"/>
                <w:sz w:val="24"/>
                <w:szCs w:val="24"/>
                <w:lang w:eastAsia="en-AU"/>
                <w14:ligatures w14:val="standardContextual"/>
              </w:rPr>
              <w:tab/>
            </w:r>
            <w:r w:rsidRPr="00EB35E3">
              <w:rPr>
                <w:rStyle w:val="Hyperlink"/>
                <w:rFonts w:ascii="Gotham Book" w:hAnsi="Gotham Book"/>
                <w:noProof/>
              </w:rPr>
              <w:t>Set up an EtD framework to document discussion</w:t>
            </w:r>
            <w:r w:rsidRPr="00EB35E3">
              <w:rPr>
                <w:rFonts w:ascii="Gotham Book" w:hAnsi="Gotham Book"/>
                <w:noProof/>
                <w:webHidden/>
              </w:rPr>
              <w:tab/>
            </w:r>
            <w:r w:rsidRPr="00EB35E3">
              <w:rPr>
                <w:rFonts w:ascii="Gotham Book" w:hAnsi="Gotham Book"/>
                <w:noProof/>
                <w:webHidden/>
              </w:rPr>
              <w:fldChar w:fldCharType="begin"/>
            </w:r>
            <w:r w:rsidRPr="00EB35E3">
              <w:rPr>
                <w:rFonts w:ascii="Gotham Book" w:hAnsi="Gotham Book"/>
                <w:noProof/>
                <w:webHidden/>
              </w:rPr>
              <w:instrText xml:space="preserve"> PAGEREF _Toc184284424 \h </w:instrText>
            </w:r>
            <w:r w:rsidRPr="00EB35E3">
              <w:rPr>
                <w:rFonts w:ascii="Gotham Book" w:hAnsi="Gotham Book"/>
                <w:noProof/>
                <w:webHidden/>
              </w:rPr>
            </w:r>
            <w:r w:rsidRPr="00EB35E3">
              <w:rPr>
                <w:rFonts w:ascii="Gotham Book" w:hAnsi="Gotham Book"/>
                <w:noProof/>
                <w:webHidden/>
              </w:rPr>
              <w:fldChar w:fldCharType="separate"/>
            </w:r>
            <w:r w:rsidRPr="00EB35E3">
              <w:rPr>
                <w:rFonts w:ascii="Gotham Book" w:hAnsi="Gotham Book"/>
                <w:noProof/>
                <w:webHidden/>
              </w:rPr>
              <w:t>3</w:t>
            </w:r>
            <w:r w:rsidRPr="00EB35E3">
              <w:rPr>
                <w:rFonts w:ascii="Gotham Book" w:hAnsi="Gotham Book"/>
                <w:noProof/>
                <w:webHidden/>
              </w:rPr>
              <w:fldChar w:fldCharType="end"/>
            </w:r>
          </w:hyperlink>
        </w:p>
        <w:p w14:paraId="092C8D67" w14:textId="6E755224" w:rsidR="00EB35E3" w:rsidRPr="00EB35E3" w:rsidRDefault="00EB35E3">
          <w:pPr>
            <w:pStyle w:val="TOC2"/>
            <w:tabs>
              <w:tab w:val="left" w:pos="720"/>
              <w:tab w:val="right" w:leader="dot" w:pos="9016"/>
            </w:tabs>
            <w:rPr>
              <w:rFonts w:ascii="Gotham Book" w:eastAsiaTheme="minorEastAsia" w:hAnsi="Gotham Book"/>
              <w:noProof/>
              <w:kern w:val="2"/>
              <w:sz w:val="24"/>
              <w:szCs w:val="24"/>
              <w:lang w:eastAsia="en-AU"/>
              <w14:ligatures w14:val="standardContextual"/>
            </w:rPr>
          </w:pPr>
          <w:hyperlink w:anchor="_Toc184284425" w:history="1">
            <w:r w:rsidRPr="00EB35E3">
              <w:rPr>
                <w:rStyle w:val="Hyperlink"/>
                <w:rFonts w:ascii="Gotham Book" w:hAnsi="Gotham Book"/>
                <w:noProof/>
              </w:rPr>
              <w:t>2.</w:t>
            </w:r>
            <w:r w:rsidRPr="00EB35E3">
              <w:rPr>
                <w:rFonts w:ascii="Gotham Book" w:eastAsiaTheme="minorEastAsia" w:hAnsi="Gotham Book"/>
                <w:noProof/>
                <w:kern w:val="2"/>
                <w:sz w:val="24"/>
                <w:szCs w:val="24"/>
                <w:lang w:eastAsia="en-AU"/>
                <w14:ligatures w14:val="standardContextual"/>
              </w:rPr>
              <w:tab/>
            </w:r>
            <w:r w:rsidRPr="00EB35E3">
              <w:rPr>
                <w:rStyle w:val="Hyperlink"/>
                <w:rFonts w:ascii="Gotham Book" w:hAnsi="Gotham Book"/>
                <w:noProof/>
              </w:rPr>
              <w:t>Decide on the process for using the EtD to make recommendations</w:t>
            </w:r>
            <w:r w:rsidRPr="00EB35E3">
              <w:rPr>
                <w:rFonts w:ascii="Gotham Book" w:hAnsi="Gotham Book"/>
                <w:noProof/>
                <w:webHidden/>
              </w:rPr>
              <w:tab/>
            </w:r>
            <w:r w:rsidRPr="00EB35E3">
              <w:rPr>
                <w:rFonts w:ascii="Gotham Book" w:hAnsi="Gotham Book"/>
                <w:noProof/>
                <w:webHidden/>
              </w:rPr>
              <w:fldChar w:fldCharType="begin"/>
            </w:r>
            <w:r w:rsidRPr="00EB35E3">
              <w:rPr>
                <w:rFonts w:ascii="Gotham Book" w:hAnsi="Gotham Book"/>
                <w:noProof/>
                <w:webHidden/>
              </w:rPr>
              <w:instrText xml:space="preserve"> PAGEREF _Toc184284425 \h </w:instrText>
            </w:r>
            <w:r w:rsidRPr="00EB35E3">
              <w:rPr>
                <w:rFonts w:ascii="Gotham Book" w:hAnsi="Gotham Book"/>
                <w:noProof/>
                <w:webHidden/>
              </w:rPr>
            </w:r>
            <w:r w:rsidRPr="00EB35E3">
              <w:rPr>
                <w:rFonts w:ascii="Gotham Book" w:hAnsi="Gotham Book"/>
                <w:noProof/>
                <w:webHidden/>
              </w:rPr>
              <w:fldChar w:fldCharType="separate"/>
            </w:r>
            <w:r w:rsidRPr="00EB35E3">
              <w:rPr>
                <w:rFonts w:ascii="Gotham Book" w:hAnsi="Gotham Book"/>
                <w:noProof/>
                <w:webHidden/>
              </w:rPr>
              <w:t>10</w:t>
            </w:r>
            <w:r w:rsidRPr="00EB35E3">
              <w:rPr>
                <w:rFonts w:ascii="Gotham Book" w:hAnsi="Gotham Book"/>
                <w:noProof/>
                <w:webHidden/>
              </w:rPr>
              <w:fldChar w:fldCharType="end"/>
            </w:r>
          </w:hyperlink>
        </w:p>
        <w:p w14:paraId="0D396C3B" w14:textId="75B97325" w:rsidR="00EB35E3" w:rsidRPr="00EB35E3" w:rsidRDefault="00EB35E3">
          <w:pPr>
            <w:pStyle w:val="TOC2"/>
            <w:tabs>
              <w:tab w:val="left" w:pos="720"/>
              <w:tab w:val="right" w:leader="dot" w:pos="9016"/>
            </w:tabs>
            <w:rPr>
              <w:rFonts w:ascii="Gotham Book" w:eastAsiaTheme="minorEastAsia" w:hAnsi="Gotham Book"/>
              <w:noProof/>
              <w:kern w:val="2"/>
              <w:sz w:val="24"/>
              <w:szCs w:val="24"/>
              <w:lang w:eastAsia="en-AU"/>
              <w14:ligatures w14:val="standardContextual"/>
            </w:rPr>
          </w:pPr>
          <w:hyperlink w:anchor="_Toc184284426" w:history="1">
            <w:r w:rsidRPr="00EB35E3">
              <w:rPr>
                <w:rStyle w:val="Hyperlink"/>
                <w:rFonts w:ascii="Gotham Book" w:hAnsi="Gotham Book"/>
                <w:noProof/>
              </w:rPr>
              <w:t>3.</w:t>
            </w:r>
            <w:r w:rsidRPr="00EB35E3">
              <w:rPr>
                <w:rFonts w:ascii="Gotham Book" w:eastAsiaTheme="minorEastAsia" w:hAnsi="Gotham Book"/>
                <w:noProof/>
                <w:kern w:val="2"/>
                <w:sz w:val="24"/>
                <w:szCs w:val="24"/>
                <w:lang w:eastAsia="en-AU"/>
                <w14:ligatures w14:val="standardContextual"/>
              </w:rPr>
              <w:tab/>
            </w:r>
            <w:r w:rsidRPr="00EB35E3">
              <w:rPr>
                <w:rStyle w:val="Hyperlink"/>
                <w:rFonts w:ascii="Gotham Book" w:hAnsi="Gotham Book"/>
                <w:noProof/>
              </w:rPr>
              <w:t>Draft content for the EtD framework(s) with a summary of evidence for each question</w:t>
            </w:r>
            <w:r w:rsidRPr="00EB35E3">
              <w:rPr>
                <w:rFonts w:ascii="Gotham Book" w:hAnsi="Gotham Book"/>
                <w:noProof/>
                <w:webHidden/>
              </w:rPr>
              <w:tab/>
            </w:r>
            <w:r w:rsidRPr="00EB35E3">
              <w:rPr>
                <w:rFonts w:ascii="Gotham Book" w:hAnsi="Gotham Book"/>
                <w:noProof/>
                <w:webHidden/>
              </w:rPr>
              <w:fldChar w:fldCharType="begin"/>
            </w:r>
            <w:r w:rsidRPr="00EB35E3">
              <w:rPr>
                <w:rFonts w:ascii="Gotham Book" w:hAnsi="Gotham Book"/>
                <w:noProof/>
                <w:webHidden/>
              </w:rPr>
              <w:instrText xml:space="preserve"> PAGEREF _Toc184284426 \h </w:instrText>
            </w:r>
            <w:r w:rsidRPr="00EB35E3">
              <w:rPr>
                <w:rFonts w:ascii="Gotham Book" w:hAnsi="Gotham Book"/>
                <w:noProof/>
                <w:webHidden/>
              </w:rPr>
            </w:r>
            <w:r w:rsidRPr="00EB35E3">
              <w:rPr>
                <w:rFonts w:ascii="Gotham Book" w:hAnsi="Gotham Book"/>
                <w:noProof/>
                <w:webHidden/>
              </w:rPr>
              <w:fldChar w:fldCharType="separate"/>
            </w:r>
            <w:r w:rsidRPr="00EB35E3">
              <w:rPr>
                <w:rFonts w:ascii="Gotham Book" w:hAnsi="Gotham Book"/>
                <w:noProof/>
                <w:webHidden/>
              </w:rPr>
              <w:t>13</w:t>
            </w:r>
            <w:r w:rsidRPr="00EB35E3">
              <w:rPr>
                <w:rFonts w:ascii="Gotham Book" w:hAnsi="Gotham Book"/>
                <w:noProof/>
                <w:webHidden/>
              </w:rPr>
              <w:fldChar w:fldCharType="end"/>
            </w:r>
          </w:hyperlink>
        </w:p>
        <w:p w14:paraId="6EF9D5AB" w14:textId="5519C6A0" w:rsidR="00EB35E3" w:rsidRPr="00EB35E3" w:rsidRDefault="00EB35E3">
          <w:pPr>
            <w:pStyle w:val="TOC2"/>
            <w:tabs>
              <w:tab w:val="left" w:pos="720"/>
              <w:tab w:val="right" w:leader="dot" w:pos="9016"/>
            </w:tabs>
            <w:rPr>
              <w:rFonts w:ascii="Gotham Book" w:eastAsiaTheme="minorEastAsia" w:hAnsi="Gotham Book"/>
              <w:noProof/>
              <w:kern w:val="2"/>
              <w:sz w:val="24"/>
              <w:szCs w:val="24"/>
              <w:lang w:eastAsia="en-AU"/>
              <w14:ligatures w14:val="standardContextual"/>
            </w:rPr>
          </w:pPr>
          <w:hyperlink w:anchor="_Toc184284427" w:history="1">
            <w:r w:rsidRPr="00EB35E3">
              <w:rPr>
                <w:rStyle w:val="Hyperlink"/>
                <w:rFonts w:ascii="Gotham Book" w:hAnsi="Gotham Book"/>
                <w:noProof/>
              </w:rPr>
              <w:t>4.</w:t>
            </w:r>
            <w:r w:rsidRPr="00EB35E3">
              <w:rPr>
                <w:rFonts w:ascii="Gotham Book" w:eastAsiaTheme="minorEastAsia" w:hAnsi="Gotham Book"/>
                <w:noProof/>
                <w:kern w:val="2"/>
                <w:sz w:val="24"/>
                <w:szCs w:val="24"/>
                <w:lang w:eastAsia="en-AU"/>
                <w14:ligatures w14:val="standardContextual"/>
              </w:rPr>
              <w:tab/>
            </w:r>
            <w:r w:rsidRPr="00EB35E3">
              <w:rPr>
                <w:rStyle w:val="Hyperlink"/>
                <w:rFonts w:ascii="Gotham Book" w:hAnsi="Gotham Book"/>
                <w:noProof/>
              </w:rPr>
              <w:t>Use the EtD framework to structure discussion and decide whether the net consequences favour the intervention or the alternative</w:t>
            </w:r>
            <w:r w:rsidRPr="00EB35E3">
              <w:rPr>
                <w:rFonts w:ascii="Gotham Book" w:hAnsi="Gotham Book"/>
                <w:noProof/>
                <w:webHidden/>
              </w:rPr>
              <w:tab/>
            </w:r>
            <w:r w:rsidRPr="00EB35E3">
              <w:rPr>
                <w:rFonts w:ascii="Gotham Book" w:hAnsi="Gotham Book"/>
                <w:noProof/>
                <w:webHidden/>
              </w:rPr>
              <w:fldChar w:fldCharType="begin"/>
            </w:r>
            <w:r w:rsidRPr="00EB35E3">
              <w:rPr>
                <w:rFonts w:ascii="Gotham Book" w:hAnsi="Gotham Book"/>
                <w:noProof/>
                <w:webHidden/>
              </w:rPr>
              <w:instrText xml:space="preserve"> PAGEREF _Toc184284427 \h </w:instrText>
            </w:r>
            <w:r w:rsidRPr="00EB35E3">
              <w:rPr>
                <w:rFonts w:ascii="Gotham Book" w:hAnsi="Gotham Book"/>
                <w:noProof/>
                <w:webHidden/>
              </w:rPr>
            </w:r>
            <w:r w:rsidRPr="00EB35E3">
              <w:rPr>
                <w:rFonts w:ascii="Gotham Book" w:hAnsi="Gotham Book"/>
                <w:noProof/>
                <w:webHidden/>
              </w:rPr>
              <w:fldChar w:fldCharType="separate"/>
            </w:r>
            <w:r w:rsidRPr="00EB35E3">
              <w:rPr>
                <w:rFonts w:ascii="Gotham Book" w:hAnsi="Gotham Book"/>
                <w:noProof/>
                <w:webHidden/>
              </w:rPr>
              <w:t>16</w:t>
            </w:r>
            <w:r w:rsidRPr="00EB35E3">
              <w:rPr>
                <w:rFonts w:ascii="Gotham Book" w:hAnsi="Gotham Book"/>
                <w:noProof/>
                <w:webHidden/>
              </w:rPr>
              <w:fldChar w:fldCharType="end"/>
            </w:r>
          </w:hyperlink>
        </w:p>
        <w:p w14:paraId="0186F0D8" w14:textId="6668B07E" w:rsidR="00EB35E3" w:rsidRPr="00EB35E3" w:rsidRDefault="00EB35E3">
          <w:pPr>
            <w:pStyle w:val="TOC2"/>
            <w:tabs>
              <w:tab w:val="left" w:pos="720"/>
              <w:tab w:val="right" w:leader="dot" w:pos="9016"/>
            </w:tabs>
            <w:rPr>
              <w:rFonts w:ascii="Gotham Book" w:eastAsiaTheme="minorEastAsia" w:hAnsi="Gotham Book"/>
              <w:noProof/>
              <w:kern w:val="2"/>
              <w:sz w:val="24"/>
              <w:szCs w:val="24"/>
              <w:lang w:eastAsia="en-AU"/>
              <w14:ligatures w14:val="standardContextual"/>
            </w:rPr>
          </w:pPr>
          <w:hyperlink w:anchor="_Toc184284428" w:history="1">
            <w:r w:rsidRPr="00EB35E3">
              <w:rPr>
                <w:rStyle w:val="Hyperlink"/>
                <w:rFonts w:ascii="Gotham Book" w:hAnsi="Gotham Book"/>
                <w:noProof/>
              </w:rPr>
              <w:t>5.</w:t>
            </w:r>
            <w:r w:rsidRPr="00EB35E3">
              <w:rPr>
                <w:rFonts w:ascii="Gotham Book" w:eastAsiaTheme="minorEastAsia" w:hAnsi="Gotham Book"/>
                <w:noProof/>
                <w:kern w:val="2"/>
                <w:sz w:val="24"/>
                <w:szCs w:val="24"/>
                <w:lang w:eastAsia="en-AU"/>
                <w14:ligatures w14:val="standardContextual"/>
              </w:rPr>
              <w:tab/>
            </w:r>
            <w:r w:rsidRPr="00EB35E3">
              <w:rPr>
                <w:rStyle w:val="Hyperlink"/>
                <w:rFonts w:ascii="Gotham Book" w:hAnsi="Gotham Book"/>
                <w:noProof/>
              </w:rPr>
              <w:t>Make clear, concise and actionable recommendation(s) and/or good practice statements</w:t>
            </w:r>
            <w:r w:rsidRPr="00EB35E3">
              <w:rPr>
                <w:rFonts w:ascii="Gotham Book" w:hAnsi="Gotham Book"/>
                <w:noProof/>
                <w:webHidden/>
              </w:rPr>
              <w:tab/>
            </w:r>
            <w:r w:rsidRPr="00EB35E3">
              <w:rPr>
                <w:rFonts w:ascii="Gotham Book" w:hAnsi="Gotham Book"/>
                <w:noProof/>
                <w:webHidden/>
              </w:rPr>
              <w:fldChar w:fldCharType="begin"/>
            </w:r>
            <w:r w:rsidRPr="00EB35E3">
              <w:rPr>
                <w:rFonts w:ascii="Gotham Book" w:hAnsi="Gotham Book"/>
                <w:noProof/>
                <w:webHidden/>
              </w:rPr>
              <w:instrText xml:space="preserve"> PAGEREF _Toc184284428 \h </w:instrText>
            </w:r>
            <w:r w:rsidRPr="00EB35E3">
              <w:rPr>
                <w:rFonts w:ascii="Gotham Book" w:hAnsi="Gotham Book"/>
                <w:noProof/>
                <w:webHidden/>
              </w:rPr>
            </w:r>
            <w:r w:rsidRPr="00EB35E3">
              <w:rPr>
                <w:rFonts w:ascii="Gotham Book" w:hAnsi="Gotham Book"/>
                <w:noProof/>
                <w:webHidden/>
              </w:rPr>
              <w:fldChar w:fldCharType="separate"/>
            </w:r>
            <w:r w:rsidRPr="00EB35E3">
              <w:rPr>
                <w:rFonts w:ascii="Gotham Book" w:hAnsi="Gotham Book"/>
                <w:noProof/>
                <w:webHidden/>
              </w:rPr>
              <w:t>18</w:t>
            </w:r>
            <w:r w:rsidRPr="00EB35E3">
              <w:rPr>
                <w:rFonts w:ascii="Gotham Book" w:hAnsi="Gotham Book"/>
                <w:noProof/>
                <w:webHidden/>
              </w:rPr>
              <w:fldChar w:fldCharType="end"/>
            </w:r>
          </w:hyperlink>
        </w:p>
        <w:p w14:paraId="30D23B5A" w14:textId="3E561FC0" w:rsidR="00EB35E3" w:rsidRPr="00EB35E3" w:rsidRDefault="00EB35E3">
          <w:pPr>
            <w:pStyle w:val="TOC2"/>
            <w:tabs>
              <w:tab w:val="left" w:pos="720"/>
              <w:tab w:val="right" w:leader="dot" w:pos="9016"/>
            </w:tabs>
            <w:rPr>
              <w:rFonts w:ascii="Gotham Book" w:eastAsiaTheme="minorEastAsia" w:hAnsi="Gotham Book"/>
              <w:noProof/>
              <w:kern w:val="2"/>
              <w:sz w:val="24"/>
              <w:szCs w:val="24"/>
              <w:lang w:eastAsia="en-AU"/>
              <w14:ligatures w14:val="standardContextual"/>
            </w:rPr>
          </w:pPr>
          <w:hyperlink w:anchor="_Toc184284429" w:history="1">
            <w:r w:rsidRPr="00EB35E3">
              <w:rPr>
                <w:rStyle w:val="Hyperlink"/>
                <w:rFonts w:ascii="Gotham Book" w:hAnsi="Gotham Book"/>
                <w:noProof/>
              </w:rPr>
              <w:t>6.</w:t>
            </w:r>
            <w:r w:rsidRPr="00EB35E3">
              <w:rPr>
                <w:rFonts w:ascii="Gotham Book" w:eastAsiaTheme="minorEastAsia" w:hAnsi="Gotham Book"/>
                <w:noProof/>
                <w:kern w:val="2"/>
                <w:sz w:val="24"/>
                <w:szCs w:val="24"/>
                <w:lang w:eastAsia="en-AU"/>
                <w14:ligatures w14:val="standardContextual"/>
              </w:rPr>
              <w:tab/>
            </w:r>
            <w:r w:rsidRPr="00EB35E3">
              <w:rPr>
                <w:rStyle w:val="Hyperlink"/>
                <w:rFonts w:ascii="Gotham Book" w:hAnsi="Gotham Book"/>
                <w:noProof/>
              </w:rPr>
              <w:t>Finalise, review and publish the EtD content and recommendations(s)</w:t>
            </w:r>
            <w:r w:rsidRPr="00EB35E3">
              <w:rPr>
                <w:rFonts w:ascii="Gotham Book" w:hAnsi="Gotham Book"/>
                <w:noProof/>
                <w:webHidden/>
              </w:rPr>
              <w:tab/>
            </w:r>
            <w:r w:rsidRPr="00EB35E3">
              <w:rPr>
                <w:rFonts w:ascii="Gotham Book" w:hAnsi="Gotham Book"/>
                <w:noProof/>
                <w:webHidden/>
              </w:rPr>
              <w:fldChar w:fldCharType="begin"/>
            </w:r>
            <w:r w:rsidRPr="00EB35E3">
              <w:rPr>
                <w:rFonts w:ascii="Gotham Book" w:hAnsi="Gotham Book"/>
                <w:noProof/>
                <w:webHidden/>
              </w:rPr>
              <w:instrText xml:space="preserve"> PAGEREF _Toc184284429 \h </w:instrText>
            </w:r>
            <w:r w:rsidRPr="00EB35E3">
              <w:rPr>
                <w:rFonts w:ascii="Gotham Book" w:hAnsi="Gotham Book"/>
                <w:noProof/>
                <w:webHidden/>
              </w:rPr>
            </w:r>
            <w:r w:rsidRPr="00EB35E3">
              <w:rPr>
                <w:rFonts w:ascii="Gotham Book" w:hAnsi="Gotham Book"/>
                <w:noProof/>
                <w:webHidden/>
              </w:rPr>
              <w:fldChar w:fldCharType="separate"/>
            </w:r>
            <w:r w:rsidRPr="00EB35E3">
              <w:rPr>
                <w:rFonts w:ascii="Gotham Book" w:hAnsi="Gotham Book"/>
                <w:noProof/>
                <w:webHidden/>
              </w:rPr>
              <w:t>26</w:t>
            </w:r>
            <w:r w:rsidRPr="00EB35E3">
              <w:rPr>
                <w:rFonts w:ascii="Gotham Book" w:hAnsi="Gotham Book"/>
                <w:noProof/>
                <w:webHidden/>
              </w:rPr>
              <w:fldChar w:fldCharType="end"/>
            </w:r>
          </w:hyperlink>
        </w:p>
        <w:p w14:paraId="0C3BBDF9" w14:textId="0D5332BD" w:rsidR="00EB35E3" w:rsidRPr="00EB35E3" w:rsidRDefault="00EB35E3">
          <w:pPr>
            <w:pStyle w:val="TOC1"/>
            <w:rPr>
              <w:rFonts w:ascii="Gotham Book" w:eastAsiaTheme="minorEastAsia" w:hAnsi="Gotham Book"/>
              <w:noProof/>
              <w:kern w:val="2"/>
              <w:sz w:val="24"/>
              <w:szCs w:val="24"/>
              <w:lang w:eastAsia="en-AU"/>
              <w14:ligatures w14:val="standardContextual"/>
            </w:rPr>
          </w:pPr>
          <w:hyperlink w:anchor="_Toc184284430" w:history="1">
            <w:r w:rsidRPr="00EB35E3">
              <w:rPr>
                <w:rStyle w:val="Hyperlink"/>
                <w:rFonts w:ascii="Gotham Book" w:hAnsi="Gotham Book"/>
                <w:noProof/>
              </w:rPr>
              <w:t>References</w:t>
            </w:r>
            <w:r w:rsidRPr="00EB35E3">
              <w:rPr>
                <w:rFonts w:ascii="Gotham Book" w:hAnsi="Gotham Book"/>
                <w:noProof/>
                <w:webHidden/>
              </w:rPr>
              <w:tab/>
            </w:r>
            <w:r w:rsidRPr="00EB35E3">
              <w:rPr>
                <w:rFonts w:ascii="Gotham Book" w:hAnsi="Gotham Book"/>
                <w:noProof/>
                <w:webHidden/>
              </w:rPr>
              <w:fldChar w:fldCharType="begin"/>
            </w:r>
            <w:r w:rsidRPr="00EB35E3">
              <w:rPr>
                <w:rFonts w:ascii="Gotham Book" w:hAnsi="Gotham Book"/>
                <w:noProof/>
                <w:webHidden/>
              </w:rPr>
              <w:instrText xml:space="preserve"> PAGEREF _Toc184284430 \h </w:instrText>
            </w:r>
            <w:r w:rsidRPr="00EB35E3">
              <w:rPr>
                <w:rFonts w:ascii="Gotham Book" w:hAnsi="Gotham Book"/>
                <w:noProof/>
                <w:webHidden/>
              </w:rPr>
            </w:r>
            <w:r w:rsidRPr="00EB35E3">
              <w:rPr>
                <w:rFonts w:ascii="Gotham Book" w:hAnsi="Gotham Book"/>
                <w:noProof/>
                <w:webHidden/>
              </w:rPr>
              <w:fldChar w:fldCharType="separate"/>
            </w:r>
            <w:r w:rsidRPr="00EB35E3">
              <w:rPr>
                <w:rFonts w:ascii="Gotham Book" w:hAnsi="Gotham Book"/>
                <w:noProof/>
                <w:webHidden/>
              </w:rPr>
              <w:t>28</w:t>
            </w:r>
            <w:r w:rsidRPr="00EB35E3">
              <w:rPr>
                <w:rFonts w:ascii="Gotham Book" w:hAnsi="Gotham Book"/>
                <w:noProof/>
                <w:webHidden/>
              </w:rPr>
              <w:fldChar w:fldCharType="end"/>
            </w:r>
          </w:hyperlink>
        </w:p>
        <w:p w14:paraId="22B9BAB8" w14:textId="6AF3A301" w:rsidR="005A6C8F" w:rsidRPr="00646746" w:rsidRDefault="006509D4" w:rsidP="00646746">
          <w:pPr>
            <w:spacing w:after="120"/>
            <w:rPr>
              <w:rFonts w:ascii="Gotham Book" w:hAnsi="Gotham Book"/>
              <w:color w:val="354052"/>
            </w:rPr>
          </w:pPr>
          <w:r w:rsidRPr="00EB35E3">
            <w:rPr>
              <w:rFonts w:ascii="Gotham Book" w:hAnsi="Gotham Book" w:cstheme="minorHAnsi"/>
              <w:b/>
            </w:rPr>
            <w:fldChar w:fldCharType="end"/>
          </w:r>
        </w:p>
      </w:sdtContent>
    </w:sdt>
    <w:bookmarkEnd w:id="0" w:displacedByCustomXml="prev"/>
    <w:bookmarkEnd w:id="1" w:displacedByCustomXml="prev"/>
    <w:bookmarkStart w:id="2" w:name="_Toc491359904" w:displacedByCustomXml="prev"/>
    <w:p w14:paraId="7C22F966" w14:textId="76C726A4" w:rsidR="004F422A" w:rsidRPr="00646746" w:rsidRDefault="00406FE9" w:rsidP="0079145A">
      <w:pPr>
        <w:pStyle w:val="Heading1"/>
        <w:spacing w:after="120"/>
        <w:rPr>
          <w:sz w:val="28"/>
        </w:rPr>
      </w:pPr>
      <w:bookmarkStart w:id="3" w:name="_Toc184284422"/>
      <w:r w:rsidRPr="00646746">
        <w:rPr>
          <w:sz w:val="28"/>
        </w:rPr>
        <w:t>Overview</w:t>
      </w:r>
      <w:bookmarkEnd w:id="2"/>
      <w:bookmarkEnd w:id="3"/>
    </w:p>
    <w:p w14:paraId="2E40D0E8" w14:textId="40A157E3" w:rsidR="003A37F4" w:rsidRPr="006A25EA" w:rsidRDefault="003A37F4" w:rsidP="003A37F4">
      <w:pPr>
        <w:rPr>
          <w:rFonts w:ascii="Gotham Book" w:hAnsi="Gotham Book"/>
        </w:rPr>
      </w:pPr>
      <w:r w:rsidRPr="00646746">
        <w:rPr>
          <w:rFonts w:ascii="Gotham Book" w:hAnsi="Gotham Book"/>
        </w:rPr>
        <w:t>The recommendations of a guideline are the key actionable statements that, if implemented appropriately, will achieve the objectives of the guideline</w:t>
      </w:r>
      <w:r w:rsidR="00D35363" w:rsidRPr="00D35363">
        <w:rPr>
          <w:rFonts w:ascii="Gotham Book" w:hAnsi="Gotham Book"/>
          <w:vertAlign w:val="superscript"/>
        </w:rPr>
        <w:t>1</w:t>
      </w:r>
      <w:r w:rsidR="00D35363">
        <w:rPr>
          <w:rFonts w:ascii="Gotham Book" w:hAnsi="Gotham Book"/>
        </w:rPr>
        <w:t xml:space="preserve">. </w:t>
      </w:r>
      <w:r w:rsidRPr="00646746">
        <w:rPr>
          <w:rFonts w:ascii="Gotham Book" w:hAnsi="Gotham Book"/>
        </w:rPr>
        <w:t xml:space="preserve">This may be a recommendation to do something (e.g. wash your hands), to stop something (e.g. de-prescribing a medication) or in some cases to choose the option preferred by those affected by the recommendation (where there is a close balance between pros and cons of options). For most decision-makers, having recommendations from a group who can systematically consider the evidence </w:t>
      </w:r>
      <w:r w:rsidRPr="00646746">
        <w:rPr>
          <w:rFonts w:ascii="Gotham Book" w:hAnsi="Gotham Book"/>
        </w:rPr>
        <w:lastRenderedPageBreak/>
        <w:t>and that is well placed to make judgements, is preferable to having no recommendation at all</w:t>
      </w:r>
      <w:r w:rsidR="00D35363" w:rsidRPr="00D35363">
        <w:rPr>
          <w:rFonts w:ascii="Gotham Book" w:hAnsi="Gotham Book"/>
          <w:vertAlign w:val="superscript"/>
        </w:rPr>
        <w:t>2,3</w:t>
      </w:r>
      <w:r w:rsidR="006A25EA">
        <w:rPr>
          <w:rFonts w:ascii="Gotham Book" w:hAnsi="Gotham Book"/>
        </w:rPr>
        <w:t>.</w:t>
      </w:r>
    </w:p>
    <w:p w14:paraId="12F4F4CE" w14:textId="3551692F" w:rsidR="003A37F4" w:rsidRPr="00646746" w:rsidRDefault="003A37F4" w:rsidP="003A37F4">
      <w:pPr>
        <w:rPr>
          <w:rFonts w:ascii="Gotham Book" w:hAnsi="Gotham Book"/>
        </w:rPr>
      </w:pPr>
      <w:r w:rsidRPr="00646746">
        <w:rPr>
          <w:rFonts w:ascii="Gotham Book" w:hAnsi="Gotham Book"/>
        </w:rPr>
        <w:t xml:space="preserve">Systematic reviews can provide a comprehensive summary of the evidence addressing each guideline question but they do not include recommendations. </w:t>
      </w:r>
      <w:r w:rsidR="00D84DA2">
        <w:rPr>
          <w:rFonts w:ascii="Gotham Book" w:hAnsi="Gotham Book"/>
        </w:rPr>
        <w:t>Many</w:t>
      </w:r>
      <w:r w:rsidRPr="00646746">
        <w:rPr>
          <w:rFonts w:ascii="Gotham Book" w:hAnsi="Gotham Book"/>
        </w:rPr>
        <w:t xml:space="preserve"> factors </w:t>
      </w:r>
      <w:r w:rsidR="00D84DA2">
        <w:rPr>
          <w:rFonts w:ascii="Gotham Book" w:hAnsi="Gotham Book"/>
        </w:rPr>
        <w:t xml:space="preserve">must be considered </w:t>
      </w:r>
      <w:r w:rsidRPr="00646746">
        <w:rPr>
          <w:rFonts w:ascii="Gotham Book" w:hAnsi="Gotham Book"/>
        </w:rPr>
        <w:t>when making a recommendation</w:t>
      </w:r>
      <w:r w:rsidR="00D84DA2">
        <w:rPr>
          <w:rFonts w:ascii="Gotham Book" w:hAnsi="Gotham Book"/>
        </w:rPr>
        <w:t>,</w:t>
      </w:r>
      <w:r w:rsidRPr="00646746">
        <w:rPr>
          <w:rFonts w:ascii="Gotham Book" w:hAnsi="Gotham Book"/>
        </w:rPr>
        <w:t xml:space="preserve"> and the systematic judgement of the guideline development group is </w:t>
      </w:r>
      <w:r w:rsidR="00D84DA2">
        <w:rPr>
          <w:rFonts w:ascii="Gotham Book" w:hAnsi="Gotham Book"/>
        </w:rPr>
        <w:t>crucial</w:t>
      </w:r>
      <w:r w:rsidRPr="00646746">
        <w:rPr>
          <w:rFonts w:ascii="Gotham Book" w:hAnsi="Gotham Book"/>
        </w:rPr>
        <w:t xml:space="preserve"> in </w:t>
      </w:r>
      <w:r w:rsidR="00D84DA2">
        <w:rPr>
          <w:rFonts w:ascii="Gotham Book" w:hAnsi="Gotham Book"/>
        </w:rPr>
        <w:t>this process.</w:t>
      </w:r>
      <w:r w:rsidRPr="00646746">
        <w:rPr>
          <w:rFonts w:ascii="Gotham Book" w:hAnsi="Gotham Book"/>
        </w:rPr>
        <w:t xml:space="preserve"> Following a structured process, guideline development groups must weigh up the evidence and other relevant information to decide on the recommended course of action. </w:t>
      </w:r>
    </w:p>
    <w:p w14:paraId="5A60363C" w14:textId="1CFA3FFC" w:rsidR="003A37F4" w:rsidRPr="00646746" w:rsidRDefault="003A37F4" w:rsidP="003A37F4">
      <w:pPr>
        <w:rPr>
          <w:rFonts w:ascii="Gotham Book" w:hAnsi="Gotham Book"/>
        </w:rPr>
      </w:pPr>
      <w:r w:rsidRPr="00646746">
        <w:rPr>
          <w:rFonts w:ascii="Gotham Book" w:hAnsi="Gotham Book"/>
        </w:rPr>
        <w:t xml:space="preserve">Guideline development groups can find the process of moving from the evidence to a recommendation challenging, especially if the evidence base is uncertain or direct evidence is lacking. Given the many factors that can influence a recommendation, it is important that guideline development groups use a predetermined framework that enables a structured and transparent process to make decisions. </w:t>
      </w:r>
      <w:r w:rsidR="00DD2FF9">
        <w:rPr>
          <w:rFonts w:ascii="Gotham Book" w:hAnsi="Gotham Book"/>
        </w:rPr>
        <w:t>A</w:t>
      </w:r>
      <w:r w:rsidRPr="00646746">
        <w:rPr>
          <w:rFonts w:ascii="Gotham Book" w:hAnsi="Gotham Book"/>
        </w:rPr>
        <w:t xml:space="preserve"> summary of the evidence</w:t>
      </w:r>
      <w:r w:rsidR="00DD2FF9">
        <w:rPr>
          <w:rFonts w:ascii="Gotham Book" w:hAnsi="Gotham Book"/>
        </w:rPr>
        <w:t xml:space="preserve">, the </w:t>
      </w:r>
      <w:r w:rsidRPr="00646746">
        <w:rPr>
          <w:rFonts w:ascii="Gotham Book" w:hAnsi="Gotham Book"/>
        </w:rPr>
        <w:t>information considered</w:t>
      </w:r>
      <w:r w:rsidR="00DD2FF9">
        <w:rPr>
          <w:rFonts w:ascii="Gotham Book" w:hAnsi="Gotham Book"/>
        </w:rPr>
        <w:t>,</w:t>
      </w:r>
      <w:r w:rsidRPr="00646746">
        <w:rPr>
          <w:rFonts w:ascii="Gotham Book" w:hAnsi="Gotham Book"/>
        </w:rPr>
        <w:t xml:space="preserve"> and the </w:t>
      </w:r>
      <w:r w:rsidR="00DD2FF9">
        <w:rPr>
          <w:rFonts w:ascii="Gotham Book" w:hAnsi="Gotham Book"/>
        </w:rPr>
        <w:t>judgments</w:t>
      </w:r>
      <w:r w:rsidRPr="00646746">
        <w:rPr>
          <w:rFonts w:ascii="Gotham Book" w:hAnsi="Gotham Book"/>
        </w:rPr>
        <w:t xml:space="preserve"> made should be published alongside each </w:t>
      </w:r>
      <w:r w:rsidR="00DD2FF9">
        <w:rPr>
          <w:rFonts w:ascii="Gotham Book" w:hAnsi="Gotham Book"/>
        </w:rPr>
        <w:t>recommendation</w:t>
      </w:r>
      <w:r w:rsidR="00C43981" w:rsidRPr="006A25EA">
        <w:rPr>
          <w:rFonts w:ascii="Gotham Book" w:hAnsi="Gotham Book"/>
          <w:vertAlign w:val="superscript"/>
        </w:rPr>
        <w:t>4</w:t>
      </w:r>
      <w:r w:rsidR="00DD2FF9">
        <w:rPr>
          <w:rFonts w:ascii="Gotham Book" w:hAnsi="Gotham Book"/>
        </w:rPr>
        <w:t>.</w:t>
      </w:r>
    </w:p>
    <w:p w14:paraId="380D8CDD" w14:textId="3CCFAACE" w:rsidR="003A37F4" w:rsidRPr="00646746" w:rsidRDefault="003A37F4" w:rsidP="003A37F4">
      <w:pPr>
        <w:rPr>
          <w:rFonts w:ascii="Gotham Book" w:hAnsi="Gotham Book"/>
        </w:rPr>
      </w:pPr>
      <w:r w:rsidRPr="00646746">
        <w:rPr>
          <w:rFonts w:ascii="Gotham Book" w:hAnsi="Gotham Book"/>
        </w:rPr>
        <w:t>‘Evidence to Decision’ (</w:t>
      </w:r>
      <w:proofErr w:type="spellStart"/>
      <w:r w:rsidRPr="00646746">
        <w:rPr>
          <w:rFonts w:ascii="Gotham Book" w:hAnsi="Gotham Book"/>
        </w:rPr>
        <w:t>EtD</w:t>
      </w:r>
      <w:proofErr w:type="spellEnd"/>
      <w:r w:rsidRPr="00646746">
        <w:rPr>
          <w:rFonts w:ascii="Gotham Book" w:hAnsi="Gotham Book"/>
        </w:rPr>
        <w:t xml:space="preserve">) frameworks (arising from the GRADE Working Group and related work, and the work of </w:t>
      </w:r>
      <w:r w:rsidR="00720CE9">
        <w:rPr>
          <w:rFonts w:ascii="Gotham Book" w:hAnsi="Gotham Book"/>
        </w:rPr>
        <w:t>the World Health Organisation (</w:t>
      </w:r>
      <w:r w:rsidRPr="00646746">
        <w:rPr>
          <w:rFonts w:ascii="Gotham Book" w:hAnsi="Gotham Book"/>
        </w:rPr>
        <w:t>WHO</w:t>
      </w:r>
      <w:r w:rsidR="00720CE9">
        <w:rPr>
          <w:rFonts w:ascii="Gotham Book" w:hAnsi="Gotham Book"/>
        </w:rPr>
        <w:t>)</w:t>
      </w:r>
      <w:r w:rsidRPr="00646746">
        <w:rPr>
          <w:rFonts w:ascii="Gotham Book" w:hAnsi="Gotham Book"/>
        </w:rPr>
        <w:t xml:space="preserve"> and </w:t>
      </w:r>
      <w:r w:rsidR="00720CE9">
        <w:rPr>
          <w:rFonts w:ascii="Gotham Book" w:hAnsi="Gotham Book"/>
        </w:rPr>
        <w:t xml:space="preserve">the National Institute </w:t>
      </w:r>
      <w:r w:rsidR="009C041B">
        <w:rPr>
          <w:rFonts w:ascii="Gotham Book" w:hAnsi="Gotham Book"/>
        </w:rPr>
        <w:t>for Health and Care Excellence (</w:t>
      </w:r>
      <w:r w:rsidRPr="00646746">
        <w:rPr>
          <w:rFonts w:ascii="Gotham Book" w:hAnsi="Gotham Book"/>
        </w:rPr>
        <w:t xml:space="preserve">NICE) were developed to help guideline development groups use evidence to make recommendations in a systematic and transparent way. These frameworks prompt the guideline development group to consider and document all relevant factors (criteria) and their judgements in order to make recommendations. The factors considered include whether the desirable effects of an option outweigh the undesirable effects (i.e. benefits versus harms), how much people value the main outcomes of an intervention or exposure, the feasibility and acceptability of different options, the impact on health equity, and resource requirements. </w:t>
      </w:r>
    </w:p>
    <w:p w14:paraId="7FE8884E" w14:textId="7B6B5CF4" w:rsidR="003A37F4" w:rsidRPr="00646746" w:rsidRDefault="003A37F4" w:rsidP="003A37F4">
      <w:pPr>
        <w:rPr>
          <w:rFonts w:ascii="Gotham Book" w:hAnsi="Gotham Book"/>
        </w:rPr>
      </w:pPr>
      <w:proofErr w:type="spellStart"/>
      <w:r w:rsidRPr="00646746">
        <w:rPr>
          <w:rFonts w:ascii="Gotham Book" w:hAnsi="Gotham Book"/>
        </w:rPr>
        <w:t>EtD</w:t>
      </w:r>
      <w:proofErr w:type="spellEnd"/>
      <w:r w:rsidRPr="00646746">
        <w:rPr>
          <w:rFonts w:ascii="Gotham Book" w:hAnsi="Gotham Book"/>
        </w:rPr>
        <w:t xml:space="preserve"> frameworks have been tailored for diverse types of evidence and guideline questions. Some agencies have developed </w:t>
      </w:r>
      <w:proofErr w:type="spellStart"/>
      <w:r w:rsidRPr="00646746">
        <w:rPr>
          <w:rFonts w:ascii="Gotham Book" w:hAnsi="Gotham Book"/>
        </w:rPr>
        <w:t>EtD</w:t>
      </w:r>
      <w:proofErr w:type="spellEnd"/>
      <w:r w:rsidRPr="00646746">
        <w:rPr>
          <w:rFonts w:ascii="Gotham Book" w:hAnsi="Gotham Book"/>
        </w:rPr>
        <w:t xml:space="preserve"> frameworks that are structured to support their own norms and values such as the </w:t>
      </w:r>
      <w:hyperlink r:id="rId12" w:history="1">
        <w:r w:rsidRPr="00646746">
          <w:rPr>
            <w:rStyle w:val="Hyperlink"/>
            <w:rFonts w:ascii="Gotham Book" w:hAnsi="Gotham Book"/>
          </w:rPr>
          <w:t>WHO-integrate framework</w:t>
        </w:r>
      </w:hyperlink>
      <w:r w:rsidRPr="00646746">
        <w:rPr>
          <w:rFonts w:ascii="Gotham Book" w:hAnsi="Gotham Book"/>
        </w:rPr>
        <w:t xml:space="preserve">. Given NHMRC advises developers to use the GRADE framework, this module will focus on those elements covered in GRADE </w:t>
      </w:r>
      <w:proofErr w:type="spellStart"/>
      <w:r w:rsidRPr="00646746">
        <w:rPr>
          <w:rFonts w:ascii="Gotham Book" w:hAnsi="Gotham Book"/>
        </w:rPr>
        <w:t>EtD</w:t>
      </w:r>
      <w:proofErr w:type="spellEnd"/>
      <w:r w:rsidRPr="00646746">
        <w:rPr>
          <w:rFonts w:ascii="Gotham Book" w:hAnsi="Gotham Book"/>
        </w:rPr>
        <w:t xml:space="preserve"> frameworks which are available for making decisions about interventions</w:t>
      </w:r>
      <w:r w:rsidR="00DF06DA" w:rsidRPr="00DF06DA">
        <w:rPr>
          <w:rFonts w:ascii="Gotham Book" w:hAnsi="Gotham Book"/>
          <w:vertAlign w:val="superscript"/>
        </w:rPr>
        <w:t>5,6</w:t>
      </w:r>
      <w:r w:rsidRPr="00646746">
        <w:rPr>
          <w:rFonts w:ascii="Gotham Book" w:hAnsi="Gotham Book"/>
        </w:rPr>
        <w:t>, diagnostic tests</w:t>
      </w:r>
      <w:r w:rsidR="00DF06DA" w:rsidRPr="00DF06DA">
        <w:rPr>
          <w:rFonts w:ascii="Gotham Book" w:hAnsi="Gotham Book"/>
          <w:vertAlign w:val="superscript"/>
        </w:rPr>
        <w:t>7</w:t>
      </w:r>
      <w:r w:rsidRPr="00DF06DA">
        <w:rPr>
          <w:rFonts w:ascii="Gotham Book" w:hAnsi="Gotham Book"/>
        </w:rPr>
        <w:t>, coverage decisions</w:t>
      </w:r>
      <w:r w:rsidR="00DF06DA" w:rsidRPr="00DF06DA">
        <w:rPr>
          <w:rFonts w:ascii="Gotham Book" w:hAnsi="Gotham Book"/>
          <w:vertAlign w:val="superscript"/>
        </w:rPr>
        <w:t>8</w:t>
      </w:r>
      <w:r w:rsidRPr="00DF06DA">
        <w:rPr>
          <w:rFonts w:ascii="Gotham Book" w:hAnsi="Gotham Book"/>
        </w:rPr>
        <w:t>,</w:t>
      </w:r>
      <w:r w:rsidRPr="00646746">
        <w:rPr>
          <w:rFonts w:ascii="Gotham Book" w:hAnsi="Gotham Book"/>
        </w:rPr>
        <w:t xml:space="preserve"> health system and public health decisions</w:t>
      </w:r>
      <w:r w:rsidR="00DF06DA" w:rsidRPr="00DF06DA">
        <w:rPr>
          <w:rFonts w:ascii="Gotham Book" w:hAnsi="Gotham Book"/>
          <w:vertAlign w:val="superscript"/>
        </w:rPr>
        <w:t>5</w:t>
      </w:r>
      <w:r w:rsidR="00F21C72">
        <w:rPr>
          <w:rFonts w:ascii="Gotham Book" w:hAnsi="Gotham Book"/>
        </w:rPr>
        <w:t xml:space="preserve">, </w:t>
      </w:r>
      <w:r w:rsidR="00CF7E1D">
        <w:rPr>
          <w:rFonts w:ascii="Gotham Book" w:hAnsi="Gotham Book"/>
        </w:rPr>
        <w:t>and environmental and occupational health</w:t>
      </w:r>
      <w:r w:rsidR="00DF06DA" w:rsidRPr="00DF06DA">
        <w:rPr>
          <w:rFonts w:ascii="Gotham Book" w:hAnsi="Gotham Book"/>
          <w:vertAlign w:val="superscript"/>
        </w:rPr>
        <w:t>9</w:t>
      </w:r>
      <w:r w:rsidR="00DF06DA">
        <w:rPr>
          <w:rFonts w:ascii="Gotham Book" w:hAnsi="Gotham Book"/>
        </w:rPr>
        <w:t>.</w:t>
      </w:r>
    </w:p>
    <w:p w14:paraId="16C20416" w14:textId="77881C92" w:rsidR="003A37F4" w:rsidRPr="00646746" w:rsidRDefault="003A37F4" w:rsidP="003A37F4">
      <w:pPr>
        <w:rPr>
          <w:rFonts w:ascii="Gotham Book" w:hAnsi="Gotham Book"/>
        </w:rPr>
      </w:pPr>
      <w:r w:rsidRPr="00646746">
        <w:rPr>
          <w:rFonts w:ascii="Gotham Book" w:hAnsi="Gotham Book"/>
        </w:rPr>
        <w:t xml:space="preserve">GRADE </w:t>
      </w:r>
      <w:proofErr w:type="spellStart"/>
      <w:r w:rsidRPr="00646746">
        <w:rPr>
          <w:rFonts w:ascii="Gotham Book" w:hAnsi="Gotham Book"/>
        </w:rPr>
        <w:t>EtD</w:t>
      </w:r>
      <w:proofErr w:type="spellEnd"/>
      <w:r w:rsidRPr="00646746">
        <w:rPr>
          <w:rFonts w:ascii="Gotham Book" w:hAnsi="Gotham Book"/>
        </w:rPr>
        <w:t xml:space="preserve"> frameworks are a good practice model, developed through an iterative process and evaluated in a wide range of guidelines internationally</w:t>
      </w:r>
      <w:r w:rsidR="00DF06DA" w:rsidRPr="00DF06DA">
        <w:rPr>
          <w:rFonts w:ascii="Gotham Book" w:hAnsi="Gotham Book"/>
          <w:vertAlign w:val="superscript"/>
        </w:rPr>
        <w:t>10,1</w:t>
      </w:r>
      <w:r w:rsidR="00DF06DA">
        <w:rPr>
          <w:rFonts w:ascii="Gotham Book" w:hAnsi="Gotham Book"/>
        </w:rPr>
        <w:t>.</w:t>
      </w:r>
      <w:r w:rsidRPr="00646746">
        <w:rPr>
          <w:rFonts w:ascii="Gotham Book" w:hAnsi="Gotham Book"/>
        </w:rPr>
        <w:t xml:space="preserve"> A </w:t>
      </w:r>
      <w:r w:rsidRPr="00646746">
        <w:rPr>
          <w:rFonts w:ascii="Gotham Book" w:hAnsi="Gotham Book"/>
        </w:rPr>
        <w:lastRenderedPageBreak/>
        <w:t xml:space="preserve">key feature of the </w:t>
      </w:r>
      <w:proofErr w:type="spellStart"/>
      <w:r w:rsidRPr="00646746">
        <w:rPr>
          <w:rFonts w:ascii="Gotham Book" w:hAnsi="Gotham Book"/>
        </w:rPr>
        <w:t>EtD</w:t>
      </w:r>
      <w:proofErr w:type="spellEnd"/>
      <w:r w:rsidRPr="00646746">
        <w:rPr>
          <w:rFonts w:ascii="Gotham Book" w:hAnsi="Gotham Book"/>
        </w:rPr>
        <w:t xml:space="preserve"> frameworks is that they include criteria shown in existing guidelines to be important for determining the direction or strength of recommendations. The criteria are deliberately broad to allow guideline developers to focus on factors that are most relevant to their guideline. The widespread use of GRADE </w:t>
      </w:r>
      <w:proofErr w:type="spellStart"/>
      <w:r w:rsidRPr="00646746">
        <w:rPr>
          <w:rFonts w:ascii="Gotham Book" w:hAnsi="Gotham Book"/>
        </w:rPr>
        <w:t>EtD</w:t>
      </w:r>
      <w:proofErr w:type="spellEnd"/>
      <w:r w:rsidRPr="00646746">
        <w:rPr>
          <w:rFonts w:ascii="Gotham Book" w:hAnsi="Gotham Book"/>
        </w:rPr>
        <w:t xml:space="preserve"> frameworks internationally means that they provide a familiar format and standard terminology, making guidelines easier for decision-makers to use. </w:t>
      </w:r>
    </w:p>
    <w:p w14:paraId="67A0177F" w14:textId="5A9B1408" w:rsidR="00110D9C" w:rsidRPr="00646746" w:rsidRDefault="003A37F4" w:rsidP="003A37F4">
      <w:pPr>
        <w:rPr>
          <w:rFonts w:ascii="Gotham Book" w:hAnsi="Gotham Book"/>
        </w:rPr>
      </w:pPr>
      <w:r w:rsidRPr="00646746">
        <w:rPr>
          <w:rFonts w:ascii="Gotham Book" w:hAnsi="Gotham Book"/>
        </w:rPr>
        <w:t xml:space="preserve">For those planning to adopt or adapt recommendations from an existing guideline, it is still necessary to follow an </w:t>
      </w:r>
      <w:proofErr w:type="spellStart"/>
      <w:r w:rsidRPr="00646746">
        <w:rPr>
          <w:rFonts w:ascii="Gotham Book" w:hAnsi="Gotham Book"/>
        </w:rPr>
        <w:t>EtD</w:t>
      </w:r>
      <w:proofErr w:type="spellEnd"/>
      <w:r w:rsidRPr="00646746">
        <w:rPr>
          <w:rFonts w:ascii="Gotham Book" w:hAnsi="Gotham Book"/>
        </w:rPr>
        <w:t xml:space="preserve"> process, even if the evidence synthesis is current and relevant and the GRADE-ADOLOPMENT methods assists guidelines developers to do this</w:t>
      </w:r>
      <w:r w:rsidR="00E877A5" w:rsidRPr="00E877A5">
        <w:rPr>
          <w:rFonts w:ascii="Gotham Book" w:hAnsi="Gotham Book"/>
          <w:vertAlign w:val="superscript"/>
        </w:rPr>
        <w:t>11,12</w:t>
      </w:r>
      <w:r w:rsidRPr="00646746">
        <w:rPr>
          <w:rFonts w:ascii="Gotham Book" w:hAnsi="Gotham Book"/>
        </w:rPr>
        <w:t xml:space="preserve"> (see</w:t>
      </w:r>
      <w:r w:rsidR="00FF4EDA" w:rsidRPr="00646746">
        <w:rPr>
          <w:rFonts w:ascii="Gotham Book" w:hAnsi="Gotham Book"/>
        </w:rPr>
        <w:t xml:space="preserve"> the</w:t>
      </w:r>
      <w:r w:rsidRPr="00646746">
        <w:rPr>
          <w:rFonts w:ascii="Gotham Book" w:hAnsi="Gotham Book"/>
        </w:rPr>
        <w:t xml:space="preserve"> </w:t>
      </w:r>
      <w:hyperlink r:id="rId13" w:history="1">
        <w:r w:rsidRPr="00646746">
          <w:rPr>
            <w:rStyle w:val="Hyperlink"/>
            <w:rFonts w:ascii="Gotham Book" w:hAnsi="Gotham Book"/>
          </w:rPr>
          <w:t>Adopt, adapt or start from scratch</w:t>
        </w:r>
      </w:hyperlink>
      <w:r w:rsidR="007A2FD0" w:rsidRPr="00646746">
        <w:rPr>
          <w:rFonts w:ascii="Gotham Book" w:hAnsi="Gotham Book"/>
        </w:rPr>
        <w:t xml:space="preserve"> module</w:t>
      </w:r>
      <w:r w:rsidRPr="00646746">
        <w:rPr>
          <w:rFonts w:ascii="Gotham Book" w:hAnsi="Gotham Book"/>
        </w:rPr>
        <w:t xml:space="preserve">). Doing so is particularly important if an </w:t>
      </w:r>
      <w:proofErr w:type="spellStart"/>
      <w:r w:rsidRPr="00646746">
        <w:rPr>
          <w:rFonts w:ascii="Gotham Book" w:hAnsi="Gotham Book"/>
        </w:rPr>
        <w:t>EtD</w:t>
      </w:r>
      <w:proofErr w:type="spellEnd"/>
      <w:r w:rsidRPr="00646746">
        <w:rPr>
          <w:rFonts w:ascii="Gotham Book" w:hAnsi="Gotham Book"/>
        </w:rPr>
        <w:t xml:space="preserve"> process was not used in the existing guideline or if there are contextual differences that need to be considered. Several approaches are possible, the choice of which involve balancing the need for context-specific judgements in the new guideline with efficiency and resource constraints</w:t>
      </w:r>
      <w:r w:rsidR="006551FD" w:rsidRPr="006551FD">
        <w:rPr>
          <w:rFonts w:ascii="Gotham Book" w:hAnsi="Gotham Book"/>
          <w:vertAlign w:val="superscript"/>
        </w:rPr>
        <w:t>13</w:t>
      </w:r>
      <w:r w:rsidR="006551FD">
        <w:rPr>
          <w:rFonts w:ascii="Gotham Book" w:hAnsi="Gotham Book"/>
        </w:rPr>
        <w:t>.</w:t>
      </w:r>
    </w:p>
    <w:p w14:paraId="7CA5F431" w14:textId="77777777" w:rsidR="001E31BE" w:rsidRPr="00722B64" w:rsidRDefault="00406FE9" w:rsidP="00722B64">
      <w:pPr>
        <w:pStyle w:val="Heading1"/>
      </w:pPr>
      <w:bookmarkStart w:id="4" w:name="_Toc491359905"/>
      <w:bookmarkStart w:id="5" w:name="_Toc184284423"/>
      <w:r w:rsidRPr="00722B64">
        <w:t>What to do</w:t>
      </w:r>
      <w:bookmarkEnd w:id="4"/>
      <w:bookmarkEnd w:id="5"/>
    </w:p>
    <w:p w14:paraId="4D7020E4" w14:textId="68004E86" w:rsidR="005C08B9" w:rsidRPr="00646746" w:rsidRDefault="00886CEF" w:rsidP="005C08B9">
      <w:pPr>
        <w:rPr>
          <w:rFonts w:ascii="Gotham Book" w:hAnsi="Gotham Book"/>
        </w:rPr>
      </w:pPr>
      <w:proofErr w:type="spellStart"/>
      <w:r>
        <w:rPr>
          <w:rFonts w:ascii="Gotham Book" w:hAnsi="Gotham Book"/>
        </w:rPr>
        <w:t>EtD</w:t>
      </w:r>
      <w:proofErr w:type="spellEnd"/>
      <w:r w:rsidR="00EE561E" w:rsidRPr="00646746">
        <w:rPr>
          <w:rFonts w:ascii="Gotham Book" w:hAnsi="Gotham Book"/>
        </w:rPr>
        <w:t xml:space="preserve"> frameworks were intended to help structure the process by which recommendations are made in guideline meetings. The steps guideline groups can take to prepare for and implement the </w:t>
      </w:r>
      <w:proofErr w:type="spellStart"/>
      <w:r w:rsidR="00EE561E" w:rsidRPr="00646746">
        <w:rPr>
          <w:rFonts w:ascii="Gotham Book" w:hAnsi="Gotham Book"/>
        </w:rPr>
        <w:t>EtD</w:t>
      </w:r>
      <w:proofErr w:type="spellEnd"/>
      <w:r w:rsidR="00EE561E" w:rsidRPr="00646746">
        <w:rPr>
          <w:rFonts w:ascii="Gotham Book" w:hAnsi="Gotham Book"/>
        </w:rPr>
        <w:t xml:space="preserve"> process are described in the sections that follow and outlined in a checklist appended to this module. For simplicity, GRADE terminology is used throughout because this is the most widely used framework. Software platforms like </w:t>
      </w:r>
      <w:hyperlink r:id="rId14" w:history="1">
        <w:proofErr w:type="spellStart"/>
        <w:r w:rsidR="00EE561E" w:rsidRPr="00646746">
          <w:rPr>
            <w:rStyle w:val="Hyperlink"/>
            <w:rFonts w:ascii="Gotham Book" w:hAnsi="Gotham Book"/>
          </w:rPr>
          <w:t>M</w:t>
        </w:r>
        <w:r w:rsidR="00575A34" w:rsidRPr="00646746">
          <w:rPr>
            <w:rStyle w:val="Hyperlink"/>
            <w:rFonts w:ascii="Gotham Book" w:hAnsi="Gotham Book"/>
          </w:rPr>
          <w:t>AGIC</w:t>
        </w:r>
        <w:r w:rsidR="00161722">
          <w:rPr>
            <w:rStyle w:val="Hyperlink"/>
            <w:rFonts w:ascii="Gotham Book" w:hAnsi="Gotham Book"/>
          </w:rPr>
          <w:t>a</w:t>
        </w:r>
        <w:r w:rsidR="00EE561E" w:rsidRPr="00646746">
          <w:rPr>
            <w:rStyle w:val="Hyperlink"/>
            <w:rFonts w:ascii="Gotham Book" w:hAnsi="Gotham Book"/>
          </w:rPr>
          <w:t>pp</w:t>
        </w:r>
        <w:proofErr w:type="spellEnd"/>
      </w:hyperlink>
      <w:r w:rsidR="00EE561E" w:rsidRPr="00646746">
        <w:rPr>
          <w:rFonts w:ascii="Gotham Book" w:hAnsi="Gotham Book"/>
        </w:rPr>
        <w:t xml:space="preserve"> and </w:t>
      </w:r>
      <w:hyperlink r:id="rId15" w:history="1">
        <w:proofErr w:type="spellStart"/>
        <w:r w:rsidR="00EE561E" w:rsidRPr="00646746">
          <w:rPr>
            <w:rStyle w:val="Hyperlink"/>
            <w:rFonts w:ascii="Gotham Book" w:hAnsi="Gotham Book"/>
          </w:rPr>
          <w:t>GRADEpro</w:t>
        </w:r>
        <w:proofErr w:type="spellEnd"/>
      </w:hyperlink>
      <w:r w:rsidR="00EE561E" w:rsidRPr="00646746">
        <w:rPr>
          <w:rFonts w:ascii="Gotham Book" w:hAnsi="Gotham Book"/>
        </w:rPr>
        <w:t xml:space="preserve"> provide templates for preparing and publishing GRADE </w:t>
      </w:r>
      <w:proofErr w:type="spellStart"/>
      <w:r w:rsidR="00EE561E" w:rsidRPr="00646746">
        <w:rPr>
          <w:rFonts w:ascii="Gotham Book" w:hAnsi="Gotham Book"/>
        </w:rPr>
        <w:t>EtD</w:t>
      </w:r>
      <w:proofErr w:type="spellEnd"/>
      <w:r w:rsidR="00EE561E" w:rsidRPr="00646746">
        <w:rPr>
          <w:rFonts w:ascii="Gotham Book" w:hAnsi="Gotham Book"/>
        </w:rPr>
        <w:t xml:space="preserve"> frameworks. The software includes functionality to facilitate decision-making at different stages of the development process, including voting ahead of and during meetings. If there is a circumstance where GRADE or current frameworks are not appropriate for your guideline, it is still important to plan and use a structured, explicit and transparent approach when making recommendations. The factors considered in your decision making, judgements made for each and the evidence supporting the judgements must be reported.</w:t>
      </w:r>
    </w:p>
    <w:p w14:paraId="0596000E" w14:textId="17C10B71" w:rsidR="001E31BE" w:rsidRPr="00646746" w:rsidRDefault="00406FE9" w:rsidP="00912F64">
      <w:pPr>
        <w:pStyle w:val="Heading2"/>
        <w:spacing w:after="160"/>
        <w:ind w:left="357" w:hanging="357"/>
        <w:rPr>
          <w:sz w:val="26"/>
        </w:rPr>
      </w:pPr>
      <w:bookmarkStart w:id="6" w:name="_Toc184284424"/>
      <w:r w:rsidRPr="00646746">
        <w:rPr>
          <w:sz w:val="26"/>
        </w:rPr>
        <w:t xml:space="preserve">Set up an </w:t>
      </w:r>
      <w:proofErr w:type="spellStart"/>
      <w:r w:rsidR="0023311D" w:rsidRPr="00646746">
        <w:rPr>
          <w:sz w:val="26"/>
        </w:rPr>
        <w:t>EtD</w:t>
      </w:r>
      <w:proofErr w:type="spellEnd"/>
      <w:r w:rsidR="0023311D" w:rsidRPr="00646746">
        <w:rPr>
          <w:sz w:val="26"/>
        </w:rPr>
        <w:t xml:space="preserve"> </w:t>
      </w:r>
      <w:r w:rsidR="00512C90" w:rsidRPr="00646746">
        <w:rPr>
          <w:sz w:val="26"/>
        </w:rPr>
        <w:t>framework</w:t>
      </w:r>
      <w:r w:rsidR="00F01D3D" w:rsidRPr="00646746">
        <w:rPr>
          <w:sz w:val="26"/>
        </w:rPr>
        <w:t xml:space="preserve"> </w:t>
      </w:r>
      <w:r w:rsidRPr="00646746">
        <w:rPr>
          <w:sz w:val="26"/>
        </w:rPr>
        <w:t>to document discussion</w:t>
      </w:r>
      <w:bookmarkEnd w:id="6"/>
    </w:p>
    <w:p w14:paraId="7AE1D7CB" w14:textId="556E486B" w:rsidR="00352A47" w:rsidRPr="00646746" w:rsidRDefault="00352A47" w:rsidP="00906D3D">
      <w:pPr>
        <w:spacing w:after="160" w:line="259" w:lineRule="auto"/>
        <w:rPr>
          <w:rFonts w:ascii="Gotham Book" w:hAnsi="Gotham Book" w:cstheme="minorHAnsi"/>
        </w:rPr>
      </w:pPr>
      <w:bookmarkStart w:id="7" w:name="_Toc513456974"/>
      <w:bookmarkStart w:id="8" w:name="_Toc513457127"/>
      <w:bookmarkStart w:id="9" w:name="_Toc513456976"/>
      <w:bookmarkStart w:id="10" w:name="_Toc513457129"/>
      <w:bookmarkEnd w:id="7"/>
      <w:bookmarkEnd w:id="8"/>
      <w:bookmarkEnd w:id="9"/>
      <w:bookmarkEnd w:id="10"/>
      <w:r w:rsidRPr="00646746">
        <w:rPr>
          <w:rFonts w:ascii="Gotham Book" w:hAnsi="Gotham Book" w:cstheme="minorHAnsi"/>
        </w:rPr>
        <w:t xml:space="preserve">As with the other methods used in the guideline development process, the framework used to go from the evidence to making a recommendation should be planned in advance and outlined in a protocol. At </w:t>
      </w:r>
      <w:r w:rsidR="005807D9">
        <w:rPr>
          <w:rFonts w:ascii="Gotham Book" w:hAnsi="Gotham Book" w:cstheme="minorHAnsi"/>
        </w:rPr>
        <w:t>the</w:t>
      </w:r>
      <w:r w:rsidRPr="00646746">
        <w:rPr>
          <w:rFonts w:ascii="Gotham Book" w:hAnsi="Gotham Book" w:cstheme="minorHAnsi"/>
        </w:rPr>
        <w:t xml:space="preserve"> planning stage, guideline developers need to set up </w:t>
      </w:r>
      <w:proofErr w:type="spellStart"/>
      <w:r w:rsidRPr="00646746">
        <w:rPr>
          <w:rFonts w:ascii="Gotham Book" w:hAnsi="Gotham Book" w:cstheme="minorHAnsi"/>
        </w:rPr>
        <w:t>EtD</w:t>
      </w:r>
      <w:proofErr w:type="spellEnd"/>
      <w:r w:rsidRPr="00646746">
        <w:rPr>
          <w:rFonts w:ascii="Gotham Book" w:hAnsi="Gotham Book" w:cstheme="minorHAnsi"/>
        </w:rPr>
        <w:t xml:space="preserve"> framework templates suitable for their guideline questions. This involves deciding on the factors (criteria) to include in the </w:t>
      </w:r>
      <w:proofErr w:type="spellStart"/>
      <w:r w:rsidRPr="00646746">
        <w:rPr>
          <w:rFonts w:ascii="Gotham Book" w:hAnsi="Gotham Book" w:cstheme="minorHAnsi"/>
        </w:rPr>
        <w:t>EtD</w:t>
      </w:r>
      <w:proofErr w:type="spellEnd"/>
      <w:r w:rsidRPr="00646746">
        <w:rPr>
          <w:rFonts w:ascii="Gotham Book" w:hAnsi="Gotham Book" w:cstheme="minorHAnsi"/>
        </w:rPr>
        <w:t xml:space="preserve"> </w:t>
      </w:r>
      <w:r w:rsidRPr="00646746">
        <w:rPr>
          <w:rFonts w:ascii="Gotham Book" w:hAnsi="Gotham Book" w:cstheme="minorHAnsi"/>
        </w:rPr>
        <w:lastRenderedPageBreak/>
        <w:t xml:space="preserve">framework and what evidence will be sought to inform judgement about each criterion. The first step is to identify the perspective that will be taken when making recommendations and any groups or settings for which decisions may differ. </w:t>
      </w:r>
    </w:p>
    <w:p w14:paraId="2D4B6B13" w14:textId="2054A86D" w:rsidR="007E5CE1" w:rsidRPr="00006525" w:rsidRDefault="007E5CE1" w:rsidP="007E5CE1">
      <w:pPr>
        <w:pStyle w:val="Heading4"/>
      </w:pPr>
      <w:r w:rsidRPr="00006525">
        <w:t>Identify the perspective</w:t>
      </w:r>
    </w:p>
    <w:p w14:paraId="24931F6E" w14:textId="3BB12162" w:rsidR="00352A47" w:rsidRPr="00646746" w:rsidRDefault="007E5CE1" w:rsidP="007E5CE1">
      <w:pPr>
        <w:spacing w:after="160" w:line="259" w:lineRule="auto"/>
        <w:rPr>
          <w:rFonts w:ascii="Gotham Book" w:hAnsi="Gotham Book" w:cstheme="minorHAnsi"/>
        </w:rPr>
      </w:pPr>
      <w:r w:rsidRPr="00646746">
        <w:rPr>
          <w:rFonts w:ascii="Gotham Book" w:hAnsi="Gotham Book" w:cstheme="minorHAnsi"/>
        </w:rPr>
        <w:t xml:space="preserve">GRADE has </w:t>
      </w:r>
      <w:proofErr w:type="spellStart"/>
      <w:r w:rsidRPr="00646746">
        <w:rPr>
          <w:rFonts w:ascii="Gotham Book" w:hAnsi="Gotham Book" w:cstheme="minorHAnsi"/>
        </w:rPr>
        <w:t>EtD</w:t>
      </w:r>
      <w:proofErr w:type="spellEnd"/>
      <w:r w:rsidRPr="00646746">
        <w:rPr>
          <w:rFonts w:ascii="Gotham Book" w:hAnsi="Gotham Book" w:cstheme="minorHAnsi"/>
        </w:rPr>
        <w:t xml:space="preserve"> templates tailored to the different perspectives that recommendations can be made from. A guideline panel making recommendations to help an individual make decisions about their care will need to take a slightly different perspective from that for a public health, health systems or other population-level recommendation. For example, at population-level resource requirements (costs or savings) of a recommendation can be an important consideration, whereas individuals may only be concerned about out</w:t>
      </w:r>
      <w:r w:rsidR="003C52CA">
        <w:rPr>
          <w:rFonts w:ascii="Gotham Book" w:hAnsi="Gotham Book" w:cstheme="minorHAnsi"/>
        </w:rPr>
        <w:t>-</w:t>
      </w:r>
      <w:r w:rsidRPr="00646746">
        <w:rPr>
          <w:rFonts w:ascii="Gotham Book" w:hAnsi="Gotham Book" w:cstheme="minorHAnsi"/>
        </w:rPr>
        <w:t>of</w:t>
      </w:r>
      <w:r w:rsidR="003C52CA">
        <w:rPr>
          <w:rFonts w:ascii="Gotham Book" w:hAnsi="Gotham Book" w:cstheme="minorHAnsi"/>
        </w:rPr>
        <w:t>-</w:t>
      </w:r>
      <w:r w:rsidRPr="00646746">
        <w:rPr>
          <w:rFonts w:ascii="Gotham Book" w:hAnsi="Gotham Book" w:cstheme="minorHAnsi"/>
        </w:rPr>
        <w:t>pocket costs. Guideline development groups will need a clear idea of the perspective they are taking in order to select a template that prompts them to consider the factors relevant to their recommendations. This should be stated in the background to the guideline because the same perspective is usually taken for all recommendations.</w:t>
      </w:r>
    </w:p>
    <w:p w14:paraId="084F7A04" w14:textId="68EB9880" w:rsidR="001D7BC5" w:rsidRPr="00006525" w:rsidRDefault="001D7BC5" w:rsidP="001D7BC5">
      <w:pPr>
        <w:pStyle w:val="Heading4"/>
      </w:pPr>
      <w:r w:rsidRPr="00006525">
        <w:t>Identify groups or settings for which decisions may differ</w:t>
      </w:r>
    </w:p>
    <w:p w14:paraId="65353825" w14:textId="77777777" w:rsidR="004D301D" w:rsidRDefault="006F6CD7" w:rsidP="006F6CD7">
      <w:pPr>
        <w:spacing w:after="160" w:line="259" w:lineRule="auto"/>
        <w:rPr>
          <w:rFonts w:ascii="Gotham Book" w:hAnsi="Gotham Book" w:cstheme="minorHAnsi"/>
        </w:rPr>
      </w:pPr>
      <w:r w:rsidRPr="00646746">
        <w:rPr>
          <w:rFonts w:ascii="Gotham Book" w:hAnsi="Gotham Book" w:cstheme="minorHAnsi"/>
        </w:rPr>
        <w:t xml:space="preserve">Guideline development groups need to consider whether there are specific considerations for certain populations or settings that could lead to different judgements. This has implications for the way the </w:t>
      </w:r>
      <w:proofErr w:type="spellStart"/>
      <w:r w:rsidRPr="00646746">
        <w:rPr>
          <w:rFonts w:ascii="Gotham Book" w:hAnsi="Gotham Book" w:cstheme="minorHAnsi"/>
        </w:rPr>
        <w:t>EtD</w:t>
      </w:r>
      <w:proofErr w:type="spellEnd"/>
      <w:r w:rsidRPr="00646746">
        <w:rPr>
          <w:rFonts w:ascii="Gotham Book" w:hAnsi="Gotham Book" w:cstheme="minorHAnsi"/>
        </w:rPr>
        <w:t xml:space="preserve"> framework is set up, especially when the judgements lead to a different recommendation, so should be considered at an early stage. In the </w:t>
      </w:r>
      <w:hyperlink r:id="rId16" w:history="1">
        <w:r w:rsidRPr="00796D61">
          <w:rPr>
            <w:rStyle w:val="Hyperlink"/>
            <w:rFonts w:ascii="Gotham Book" w:hAnsi="Gotham Book" w:cstheme="minorHAnsi"/>
            <w:i/>
          </w:rPr>
          <w:t>Australian guidelines to reduce health risks from drinking alcohol</w:t>
        </w:r>
      </w:hyperlink>
      <w:r w:rsidRPr="00796D61">
        <w:rPr>
          <w:rFonts w:ascii="Gotham Book" w:hAnsi="Gotham Book" w:cstheme="minorHAnsi"/>
        </w:rPr>
        <w:t>,</w:t>
      </w:r>
      <w:r w:rsidRPr="00646746">
        <w:rPr>
          <w:rFonts w:ascii="Gotham Book" w:hAnsi="Gotham Book" w:cstheme="minorHAnsi"/>
        </w:rPr>
        <w:t xml:space="preserve"> separate recommendations were made for the general population, women who are pregnant, and young people. To facilitate the panel’s decisions and reporting, a separate </w:t>
      </w:r>
      <w:proofErr w:type="spellStart"/>
      <w:r w:rsidRPr="00646746">
        <w:rPr>
          <w:rFonts w:ascii="Gotham Book" w:hAnsi="Gotham Book" w:cstheme="minorHAnsi"/>
        </w:rPr>
        <w:t>EtD</w:t>
      </w:r>
      <w:proofErr w:type="spellEnd"/>
      <w:r w:rsidRPr="00646746">
        <w:rPr>
          <w:rFonts w:ascii="Gotham Book" w:hAnsi="Gotham Book" w:cstheme="minorHAnsi"/>
        </w:rPr>
        <w:t xml:space="preserve"> framework was set up for each population. In contrast, in the </w:t>
      </w:r>
      <w:hyperlink r:id="rId17" w:anchor="/guideline/LqRV3n/section/Lrp8OE" w:history="1">
        <w:r w:rsidRPr="00646746">
          <w:rPr>
            <w:rStyle w:val="Hyperlink"/>
            <w:rFonts w:ascii="Gotham Book" w:hAnsi="Gotham Book" w:cstheme="minorHAnsi"/>
            <w:i/>
          </w:rPr>
          <w:t>Australian Living Guideline for the Pharmacological Management of Inflammatory Arthritis</w:t>
        </w:r>
      </w:hyperlink>
      <w:r w:rsidRPr="00646746">
        <w:rPr>
          <w:rFonts w:ascii="Gotham Book" w:hAnsi="Gotham Book" w:cstheme="minorHAnsi"/>
        </w:rPr>
        <w:t xml:space="preserve">, a single recommendation was made to not routinely use opioids for the treatment of pain in rheumatoid arthritis, with a sub-recommendation for those with severe pain for whom other analgesic options had failed. A single </w:t>
      </w:r>
      <w:proofErr w:type="spellStart"/>
      <w:r w:rsidRPr="00646746">
        <w:rPr>
          <w:rFonts w:ascii="Gotham Book" w:hAnsi="Gotham Book" w:cstheme="minorHAnsi"/>
        </w:rPr>
        <w:t>EtD</w:t>
      </w:r>
      <w:proofErr w:type="spellEnd"/>
      <w:r w:rsidRPr="00646746">
        <w:rPr>
          <w:rFonts w:ascii="Gotham Book" w:hAnsi="Gotham Book" w:cstheme="minorHAnsi"/>
        </w:rPr>
        <w:t xml:space="preserve"> was used, and specific populations (such as those at risk of increased harm) were addressed in the practical information supporting the recommendation. In making their judgements, the guideline group also noted that the balance of benefits and harms might be altered for people without access to comprehensive pain management services. Different perspectives or judgements can be identified through</w:t>
      </w:r>
      <w:r w:rsidR="004D301D">
        <w:rPr>
          <w:rFonts w:ascii="Gotham Book" w:hAnsi="Gotham Book" w:cstheme="minorHAnsi"/>
        </w:rPr>
        <w:t>:</w:t>
      </w:r>
    </w:p>
    <w:p w14:paraId="2D1FD0AD" w14:textId="3DB3DC3A" w:rsidR="004D301D" w:rsidRDefault="006F6CD7" w:rsidP="004D301D">
      <w:pPr>
        <w:pStyle w:val="ListParagraph"/>
        <w:numPr>
          <w:ilvl w:val="0"/>
          <w:numId w:val="20"/>
        </w:numPr>
        <w:spacing w:after="160" w:line="259" w:lineRule="auto"/>
        <w:rPr>
          <w:rFonts w:ascii="Gotham Book" w:hAnsi="Gotham Book" w:cstheme="minorHAnsi"/>
        </w:rPr>
      </w:pPr>
      <w:r w:rsidRPr="00646746">
        <w:rPr>
          <w:rFonts w:ascii="Gotham Book" w:hAnsi="Gotham Book" w:cstheme="minorHAnsi"/>
        </w:rPr>
        <w:t>the guideline development group</w:t>
      </w:r>
      <w:r w:rsidRPr="004D301D">
        <w:rPr>
          <w:rFonts w:ascii="Gotham Book" w:hAnsi="Gotham Book" w:cstheme="minorHAnsi"/>
        </w:rPr>
        <w:t xml:space="preserve"> </w:t>
      </w:r>
    </w:p>
    <w:p w14:paraId="54B56967" w14:textId="77777777" w:rsidR="004D301D" w:rsidRDefault="006F6CD7" w:rsidP="004D301D">
      <w:pPr>
        <w:pStyle w:val="ListParagraph"/>
        <w:numPr>
          <w:ilvl w:val="0"/>
          <w:numId w:val="20"/>
        </w:numPr>
        <w:spacing w:after="160" w:line="259" w:lineRule="auto"/>
        <w:rPr>
          <w:rFonts w:ascii="Gotham Book" w:hAnsi="Gotham Book" w:cstheme="minorHAnsi"/>
        </w:rPr>
      </w:pPr>
      <w:r w:rsidRPr="00646746">
        <w:rPr>
          <w:rFonts w:ascii="Gotham Book" w:hAnsi="Gotham Book" w:cstheme="minorHAnsi"/>
        </w:rPr>
        <w:t xml:space="preserve">separate panels set up to inform a specific perspective (for example the </w:t>
      </w:r>
      <w:r w:rsidRPr="00646746">
        <w:rPr>
          <w:rFonts w:ascii="Gotham Book" w:hAnsi="Gotham Book" w:cstheme="minorHAnsi"/>
          <w:i/>
        </w:rPr>
        <w:t xml:space="preserve">EAC Working Group for Aboriginal and Torres Strait Islander Women’s Antenatal Care </w:t>
      </w:r>
      <w:r w:rsidRPr="00646746">
        <w:rPr>
          <w:rFonts w:ascii="Gotham Book" w:hAnsi="Gotham Book" w:cstheme="minorHAnsi"/>
        </w:rPr>
        <w:t xml:space="preserve">for the </w:t>
      </w:r>
      <w:hyperlink r:id="rId18" w:history="1">
        <w:r w:rsidRPr="00646746">
          <w:rPr>
            <w:rStyle w:val="Hyperlink"/>
            <w:rFonts w:ascii="Gotham Book" w:hAnsi="Gotham Book" w:cstheme="minorHAnsi"/>
          </w:rPr>
          <w:t>Pregnancy Care Guidelines</w:t>
        </w:r>
      </w:hyperlink>
      <w:r w:rsidRPr="00646746">
        <w:rPr>
          <w:rFonts w:ascii="Gotham Book" w:hAnsi="Gotham Book" w:cstheme="minorHAnsi"/>
        </w:rPr>
        <w:t xml:space="preserve">), or </w:t>
      </w:r>
    </w:p>
    <w:p w14:paraId="6E3076C5" w14:textId="77777777" w:rsidR="004D301D" w:rsidRDefault="006F6CD7" w:rsidP="004D301D">
      <w:pPr>
        <w:pStyle w:val="ListParagraph"/>
        <w:numPr>
          <w:ilvl w:val="0"/>
          <w:numId w:val="20"/>
        </w:numPr>
        <w:spacing w:after="160" w:line="259" w:lineRule="auto"/>
        <w:rPr>
          <w:rFonts w:ascii="Gotham Book" w:hAnsi="Gotham Book" w:cstheme="minorHAnsi"/>
        </w:rPr>
      </w:pPr>
      <w:r w:rsidRPr="00646746">
        <w:rPr>
          <w:rFonts w:ascii="Gotham Book" w:hAnsi="Gotham Book" w:cstheme="minorHAnsi"/>
        </w:rPr>
        <w:t xml:space="preserve">specific targeted consultation with particular groups. </w:t>
      </w:r>
    </w:p>
    <w:p w14:paraId="433160AA" w14:textId="4E9967D0" w:rsidR="00352A47" w:rsidRPr="00646746" w:rsidRDefault="006F6CD7" w:rsidP="006F6CD7">
      <w:pPr>
        <w:spacing w:after="160" w:line="259" w:lineRule="auto"/>
        <w:rPr>
          <w:rFonts w:ascii="Gotham Book" w:hAnsi="Gotham Book" w:cstheme="minorHAnsi"/>
        </w:rPr>
      </w:pPr>
      <w:r w:rsidRPr="00646746">
        <w:rPr>
          <w:rFonts w:ascii="Gotham Book" w:hAnsi="Gotham Book" w:cstheme="minorHAnsi"/>
        </w:rPr>
        <w:lastRenderedPageBreak/>
        <w:t xml:space="preserve">It is important to plan for how these perspectives will be presented in the </w:t>
      </w:r>
      <w:proofErr w:type="spellStart"/>
      <w:r w:rsidRPr="00646746">
        <w:rPr>
          <w:rFonts w:ascii="Gotham Book" w:hAnsi="Gotham Book" w:cstheme="minorHAnsi"/>
        </w:rPr>
        <w:t>EtD</w:t>
      </w:r>
      <w:proofErr w:type="spellEnd"/>
      <w:r w:rsidRPr="00646746">
        <w:rPr>
          <w:rFonts w:ascii="Gotham Book" w:hAnsi="Gotham Book" w:cstheme="minorHAnsi"/>
        </w:rPr>
        <w:t xml:space="preserve"> framework so that they can be integrated in the GDGs deliberations.</w:t>
      </w:r>
    </w:p>
    <w:p w14:paraId="7D2EA847" w14:textId="252C598C" w:rsidR="006F6CD7" w:rsidRPr="00006525" w:rsidRDefault="006F6CD7" w:rsidP="006F6CD7">
      <w:pPr>
        <w:pStyle w:val="Heading4"/>
      </w:pPr>
      <w:r w:rsidRPr="00006525">
        <w:t>Decide on the factors (criteria) to consider</w:t>
      </w:r>
    </w:p>
    <w:p w14:paraId="20DEE6A4" w14:textId="09318E34" w:rsidR="00084C45" w:rsidRDefault="00F0253F" w:rsidP="00F0253F">
      <w:pPr>
        <w:spacing w:after="160" w:line="259" w:lineRule="auto"/>
        <w:rPr>
          <w:rFonts w:ascii="Gotham Book" w:hAnsi="Gotham Book" w:cstheme="minorHAnsi"/>
        </w:rPr>
      </w:pPr>
      <w:r w:rsidRPr="00646746">
        <w:rPr>
          <w:rFonts w:ascii="Gotham Book" w:hAnsi="Gotham Book" w:cstheme="minorHAnsi"/>
        </w:rPr>
        <w:t xml:space="preserve">GRADE </w:t>
      </w:r>
      <w:proofErr w:type="spellStart"/>
      <w:r w:rsidRPr="00646746">
        <w:rPr>
          <w:rFonts w:ascii="Gotham Book" w:hAnsi="Gotham Book" w:cstheme="minorHAnsi"/>
        </w:rPr>
        <w:t>EtD</w:t>
      </w:r>
      <w:proofErr w:type="spellEnd"/>
      <w:r w:rsidRPr="00646746">
        <w:rPr>
          <w:rFonts w:ascii="Gotham Book" w:hAnsi="Gotham Book" w:cstheme="minorHAnsi"/>
        </w:rPr>
        <w:t xml:space="preserve"> frameworks are intended to be flexible, rather than a rigid tool </w:t>
      </w:r>
      <w:r w:rsidR="008D7CE2">
        <w:rPr>
          <w:rFonts w:ascii="Gotham Book" w:hAnsi="Gotham Book" w:cstheme="minorHAnsi"/>
        </w:rPr>
        <w:t xml:space="preserve">that the </w:t>
      </w:r>
      <w:r w:rsidRPr="00646746">
        <w:rPr>
          <w:rFonts w:ascii="Gotham Book" w:hAnsi="Gotham Book" w:cstheme="minorHAnsi"/>
        </w:rPr>
        <w:t>GDG must adhere</w:t>
      </w:r>
      <w:r w:rsidR="001C6231">
        <w:rPr>
          <w:rFonts w:ascii="Gotham Book" w:hAnsi="Gotham Book" w:cstheme="minorHAnsi"/>
        </w:rPr>
        <w:t xml:space="preserve"> to</w:t>
      </w:r>
      <w:r w:rsidRPr="00646746">
        <w:rPr>
          <w:rFonts w:ascii="Gotham Book" w:hAnsi="Gotham Book" w:cstheme="minorHAnsi"/>
        </w:rPr>
        <w:t xml:space="preserve">. The criteria in GRADE </w:t>
      </w:r>
      <w:proofErr w:type="spellStart"/>
      <w:r w:rsidRPr="00646746">
        <w:rPr>
          <w:rFonts w:ascii="Gotham Book" w:hAnsi="Gotham Book" w:cstheme="minorHAnsi"/>
        </w:rPr>
        <w:t>EtD</w:t>
      </w:r>
      <w:proofErr w:type="spellEnd"/>
      <w:r w:rsidRPr="00646746">
        <w:rPr>
          <w:rFonts w:ascii="Gotham Book" w:hAnsi="Gotham Book" w:cstheme="minorHAnsi"/>
        </w:rPr>
        <w:t xml:space="preserve"> frameworks are deliberately broad to allow guideline developers to focus on factors that are most relevant to their guideline. </w:t>
      </w:r>
      <w:r w:rsidRPr="001B7FA4">
        <w:rPr>
          <w:rFonts w:ascii="Gotham Book" w:hAnsi="Gotham Book" w:cstheme="minorHAnsi"/>
          <w:u w:val="single"/>
        </w:rPr>
        <w:t>Table 1</w:t>
      </w:r>
      <w:r w:rsidRPr="00646746">
        <w:rPr>
          <w:rFonts w:ascii="Gotham Book" w:hAnsi="Gotham Book" w:cstheme="minorHAnsi"/>
        </w:rPr>
        <w:t xml:space="preserve"> shows the standard criteria considered in a GRADE </w:t>
      </w:r>
      <w:proofErr w:type="spellStart"/>
      <w:r w:rsidRPr="00646746">
        <w:rPr>
          <w:rFonts w:ascii="Gotham Book" w:hAnsi="Gotham Book" w:cstheme="minorHAnsi"/>
        </w:rPr>
        <w:t>EtD</w:t>
      </w:r>
      <w:proofErr w:type="spellEnd"/>
      <w:r w:rsidRPr="00646746">
        <w:rPr>
          <w:rFonts w:ascii="Gotham Book" w:hAnsi="Gotham Book" w:cstheme="minorHAnsi"/>
        </w:rPr>
        <w:t xml:space="preserve"> for making recommendations about interventions, and the evidence that can be used to judge each criterion. Similar criteria are considered for making recommendations about diagnostic tests, screening and prognosis</w:t>
      </w:r>
      <w:r w:rsidR="00A977C1" w:rsidRPr="00A977C1">
        <w:rPr>
          <w:rFonts w:ascii="Gotham Book" w:hAnsi="Gotham Book" w:cstheme="minorHAnsi"/>
          <w:vertAlign w:val="superscript"/>
        </w:rPr>
        <w:t>6,14</w:t>
      </w:r>
      <w:r w:rsidR="00A977C1">
        <w:rPr>
          <w:rFonts w:ascii="Gotham Book" w:hAnsi="Gotham Book" w:cstheme="minorHAnsi"/>
        </w:rPr>
        <w:t>.</w:t>
      </w:r>
      <w:r w:rsidRPr="00646746">
        <w:rPr>
          <w:rFonts w:ascii="Gotham Book" w:hAnsi="Gotham Book" w:cstheme="minorHAnsi"/>
        </w:rPr>
        <w:t xml:space="preserve"> </w:t>
      </w:r>
    </w:p>
    <w:p w14:paraId="0AEC5B09" w14:textId="2F28206D" w:rsidR="00F0253F" w:rsidRPr="00646746" w:rsidRDefault="00F0253F" w:rsidP="00F0253F">
      <w:pPr>
        <w:spacing w:after="160" w:line="259" w:lineRule="auto"/>
        <w:rPr>
          <w:rFonts w:ascii="Gotham Book" w:hAnsi="Gotham Book" w:cstheme="minorHAnsi"/>
        </w:rPr>
      </w:pPr>
      <w:r w:rsidRPr="00646746">
        <w:rPr>
          <w:rFonts w:ascii="Gotham Book" w:hAnsi="Gotham Book" w:cstheme="minorHAnsi"/>
        </w:rPr>
        <w:t>Guideline development groups will need to consider whether all criteria are relevant to the recommendations they intend to make. Factors that are genuinely not relevant or are outside the remit of a guideline group may be removed. On the other hand, some GRADE criteria cover factors that are of sufficient importance for certain decisions that they should be considered separately. For example, guideline developers making recommendations about psychotropic medicines may include legal constraints as a separate criterion to ensure consent requirements are considered</w:t>
      </w:r>
      <w:r w:rsidR="00A977C1" w:rsidRPr="00A977C1">
        <w:rPr>
          <w:rFonts w:ascii="Gotham Book" w:hAnsi="Gotham Book" w:cstheme="minorHAnsi"/>
          <w:vertAlign w:val="superscript"/>
        </w:rPr>
        <w:t>15</w:t>
      </w:r>
      <w:r w:rsidR="00A977C1">
        <w:rPr>
          <w:rFonts w:ascii="Gotham Book" w:hAnsi="Gotham Book" w:cstheme="minorHAnsi"/>
        </w:rPr>
        <w:t>.</w:t>
      </w:r>
      <w:r w:rsidRPr="00646746">
        <w:rPr>
          <w:rFonts w:ascii="Gotham Book" w:hAnsi="Gotham Book" w:cstheme="minorHAnsi"/>
        </w:rPr>
        <w:t xml:space="preserve">There may be additional unique criteria that need to be considered by the guideline development group. It is important that these are specified in your template. For instance, community voice and cultural considerations were included in the </w:t>
      </w:r>
      <w:proofErr w:type="spellStart"/>
      <w:r w:rsidRPr="00646746">
        <w:rPr>
          <w:rFonts w:ascii="Gotham Book" w:hAnsi="Gotham Book" w:cstheme="minorHAnsi"/>
        </w:rPr>
        <w:t>EtD</w:t>
      </w:r>
      <w:proofErr w:type="spellEnd"/>
      <w:r w:rsidRPr="00646746">
        <w:rPr>
          <w:rFonts w:ascii="Gotham Book" w:hAnsi="Gotham Book" w:cstheme="minorHAnsi"/>
        </w:rPr>
        <w:t xml:space="preserve"> framework used to develop the </w:t>
      </w:r>
      <w:hyperlink r:id="rId19" w:history="1">
        <w:r w:rsidRPr="00DD517E">
          <w:rPr>
            <w:rStyle w:val="Hyperlink"/>
            <w:rFonts w:ascii="Gotham Book" w:hAnsi="Gotham Book" w:cstheme="minorHAnsi"/>
          </w:rPr>
          <w:t>Recommendations for culturally safe and clinical kidney care for First Nations Australians</w:t>
        </w:r>
      </w:hyperlink>
      <w:r w:rsidRPr="00646746">
        <w:rPr>
          <w:rFonts w:ascii="Gotham Book" w:hAnsi="Gotham Book" w:cstheme="minorHAnsi"/>
        </w:rPr>
        <w:t>. WHO have integrated human rights and sociocultural acceptability into a framework (WHO-INTEGRATE) that is fit for purpose for WHO public health guidelines</w:t>
      </w:r>
      <w:r w:rsidR="00A977C1" w:rsidRPr="00A977C1">
        <w:rPr>
          <w:rFonts w:ascii="Gotham Book" w:hAnsi="Gotham Book" w:cstheme="minorHAnsi"/>
          <w:vertAlign w:val="superscript"/>
        </w:rPr>
        <w:t>16,17</w:t>
      </w:r>
      <w:r w:rsidR="00A977C1">
        <w:rPr>
          <w:rFonts w:ascii="Gotham Book" w:hAnsi="Gotham Book" w:cstheme="minorHAnsi"/>
        </w:rPr>
        <w:t xml:space="preserve">. </w:t>
      </w:r>
      <w:proofErr w:type="spellStart"/>
      <w:r w:rsidRPr="00646746">
        <w:rPr>
          <w:rFonts w:ascii="Gotham Book" w:hAnsi="Gotham Book" w:cstheme="minorHAnsi"/>
        </w:rPr>
        <w:t>GRADEpro</w:t>
      </w:r>
      <w:proofErr w:type="spellEnd"/>
      <w:r w:rsidRPr="00646746">
        <w:rPr>
          <w:rFonts w:ascii="Gotham Book" w:hAnsi="Gotham Book" w:cstheme="minorHAnsi"/>
        </w:rPr>
        <w:t xml:space="preserve"> software enables guideline developers to use standard templates for different perspectives (including the WHO </w:t>
      </w:r>
      <w:proofErr w:type="spellStart"/>
      <w:r w:rsidRPr="00646746">
        <w:rPr>
          <w:rFonts w:ascii="Gotham Book" w:hAnsi="Gotham Book" w:cstheme="minorHAnsi"/>
        </w:rPr>
        <w:t>Etd</w:t>
      </w:r>
      <w:proofErr w:type="spellEnd"/>
      <w:r w:rsidRPr="00646746">
        <w:rPr>
          <w:rFonts w:ascii="Gotham Book" w:hAnsi="Gotham Book" w:cstheme="minorHAnsi"/>
        </w:rPr>
        <w:t xml:space="preserve">), or customise templates by selecting or adding criteria. If you are using templates in software like </w:t>
      </w:r>
      <w:proofErr w:type="spellStart"/>
      <w:r w:rsidRPr="00646746">
        <w:rPr>
          <w:rFonts w:ascii="Gotham Book" w:hAnsi="Gotham Book" w:cstheme="minorHAnsi"/>
        </w:rPr>
        <w:t>MAGICapp</w:t>
      </w:r>
      <w:proofErr w:type="spellEnd"/>
      <w:r w:rsidRPr="00646746">
        <w:rPr>
          <w:rFonts w:ascii="Gotham Book" w:hAnsi="Gotham Book" w:cstheme="minorHAnsi"/>
        </w:rPr>
        <w:t xml:space="preserve"> you can use subheadings within the </w:t>
      </w:r>
      <w:proofErr w:type="spellStart"/>
      <w:r w:rsidRPr="00646746">
        <w:rPr>
          <w:rFonts w:ascii="Gotham Book" w:hAnsi="Gotham Book" w:cstheme="minorHAnsi"/>
        </w:rPr>
        <w:t>EtD</w:t>
      </w:r>
      <w:proofErr w:type="spellEnd"/>
      <w:r w:rsidRPr="00646746">
        <w:rPr>
          <w:rFonts w:ascii="Gotham Book" w:hAnsi="Gotham Book" w:cstheme="minorHAnsi"/>
        </w:rPr>
        <w:t xml:space="preserve"> template to differentiate factors that are important to your decision making.</w:t>
      </w:r>
    </w:p>
    <w:p w14:paraId="056A9405" w14:textId="2B82E470" w:rsidR="00F0253F" w:rsidRPr="001D2F70" w:rsidRDefault="00F0253F" w:rsidP="00F0253F">
      <w:pPr>
        <w:spacing w:after="160" w:line="259" w:lineRule="auto"/>
        <w:rPr>
          <w:rFonts w:ascii="Gotham Book" w:hAnsi="Gotham Book" w:cstheme="minorHAnsi"/>
          <w:b/>
          <w:sz w:val="23"/>
          <w:szCs w:val="23"/>
        </w:rPr>
      </w:pPr>
      <w:r w:rsidRPr="001D2F70">
        <w:rPr>
          <w:rFonts w:ascii="Gotham Book" w:hAnsi="Gotham Book" w:cstheme="minorHAnsi"/>
          <w:b/>
          <w:sz w:val="23"/>
          <w:szCs w:val="23"/>
        </w:rPr>
        <w:t xml:space="preserve">Table 1. Criteria considered in the GRADE </w:t>
      </w:r>
      <w:proofErr w:type="spellStart"/>
      <w:r w:rsidRPr="001D2F70">
        <w:rPr>
          <w:rFonts w:ascii="Gotham Book" w:hAnsi="Gotham Book" w:cstheme="minorHAnsi"/>
          <w:b/>
          <w:sz w:val="23"/>
          <w:szCs w:val="23"/>
        </w:rPr>
        <w:t>EtD</w:t>
      </w:r>
      <w:proofErr w:type="spellEnd"/>
      <w:r w:rsidRPr="001D2F70">
        <w:rPr>
          <w:rFonts w:ascii="Gotham Book" w:hAnsi="Gotham Book" w:cstheme="minorHAnsi"/>
          <w:b/>
          <w:sz w:val="23"/>
          <w:szCs w:val="23"/>
        </w:rPr>
        <w:t xml:space="preserve"> framework</w:t>
      </w:r>
    </w:p>
    <w:tbl>
      <w:tblPr>
        <w:tblStyle w:val="TableGrid"/>
        <w:tblW w:w="0" w:type="auto"/>
        <w:tblLook w:val="04A0" w:firstRow="1" w:lastRow="0" w:firstColumn="1" w:lastColumn="0" w:noHBand="0" w:noVBand="1"/>
      </w:tblPr>
      <w:tblGrid>
        <w:gridCol w:w="3005"/>
        <w:gridCol w:w="3005"/>
        <w:gridCol w:w="3006"/>
      </w:tblGrid>
      <w:tr w:rsidR="00977A69" w:rsidRPr="00C66AFF" w14:paraId="42DFF379" w14:textId="77777777" w:rsidTr="00EB2009">
        <w:tc>
          <w:tcPr>
            <w:tcW w:w="3005" w:type="dxa"/>
            <w:shd w:val="clear" w:color="auto" w:fill="DAEEF3" w:themeFill="accent5" w:themeFillTint="33"/>
          </w:tcPr>
          <w:p w14:paraId="17F292BC" w14:textId="7DA9C009" w:rsidR="00977A69" w:rsidRPr="00646746" w:rsidRDefault="00571363" w:rsidP="00F0253F">
            <w:pPr>
              <w:spacing w:after="160" w:line="259" w:lineRule="auto"/>
              <w:rPr>
                <w:rFonts w:ascii="Gotham Book" w:hAnsi="Gotham Book" w:cstheme="minorHAnsi"/>
                <w:b/>
              </w:rPr>
            </w:pPr>
            <w:r w:rsidRPr="00646746">
              <w:rPr>
                <w:rFonts w:ascii="Gotham Book" w:hAnsi="Gotham Book" w:cstheme="minorHAnsi"/>
                <w:b/>
              </w:rPr>
              <w:t>Criterion</w:t>
            </w:r>
          </w:p>
        </w:tc>
        <w:tc>
          <w:tcPr>
            <w:tcW w:w="3005" w:type="dxa"/>
            <w:shd w:val="clear" w:color="auto" w:fill="DAEEF3" w:themeFill="accent5" w:themeFillTint="33"/>
          </w:tcPr>
          <w:p w14:paraId="4FF40259" w14:textId="30E3E1BA" w:rsidR="00977A69" w:rsidRPr="00646746" w:rsidRDefault="00571363" w:rsidP="00F0253F">
            <w:pPr>
              <w:spacing w:after="160" w:line="259" w:lineRule="auto"/>
              <w:rPr>
                <w:rFonts w:ascii="Gotham Book" w:hAnsi="Gotham Book" w:cstheme="minorHAnsi"/>
                <w:b/>
              </w:rPr>
            </w:pPr>
            <w:r w:rsidRPr="00646746">
              <w:rPr>
                <w:rFonts w:ascii="Gotham Book" w:hAnsi="Gotham Book" w:cstheme="minorHAnsi"/>
                <w:b/>
              </w:rPr>
              <w:t>Explanation</w:t>
            </w:r>
          </w:p>
        </w:tc>
        <w:tc>
          <w:tcPr>
            <w:tcW w:w="3006" w:type="dxa"/>
            <w:shd w:val="clear" w:color="auto" w:fill="DAEEF3" w:themeFill="accent5" w:themeFillTint="33"/>
          </w:tcPr>
          <w:p w14:paraId="5F0AF82E" w14:textId="05E90442" w:rsidR="00977A69" w:rsidRPr="00646746" w:rsidRDefault="00571363" w:rsidP="00F0253F">
            <w:pPr>
              <w:spacing w:after="160" w:line="259" w:lineRule="auto"/>
              <w:rPr>
                <w:rFonts w:ascii="Gotham Book" w:hAnsi="Gotham Book" w:cstheme="minorHAnsi"/>
                <w:b/>
              </w:rPr>
            </w:pPr>
            <w:r w:rsidRPr="00646746">
              <w:rPr>
                <w:rFonts w:ascii="Gotham Book" w:hAnsi="Gotham Book" w:cstheme="minorHAnsi"/>
                <w:b/>
              </w:rPr>
              <w:t>Sources of evidence to inform judgement</w:t>
            </w:r>
          </w:p>
        </w:tc>
      </w:tr>
      <w:tr w:rsidR="00977A69" w:rsidRPr="00C66AFF" w14:paraId="1709EF3F" w14:textId="77777777" w:rsidTr="0079145A">
        <w:tc>
          <w:tcPr>
            <w:tcW w:w="3005" w:type="dxa"/>
            <w:shd w:val="clear" w:color="auto" w:fill="DAEEF3" w:themeFill="accent5" w:themeFillTint="33"/>
          </w:tcPr>
          <w:p w14:paraId="573133B1" w14:textId="77777777" w:rsidR="00F74946" w:rsidRPr="00646746" w:rsidRDefault="00F74946" w:rsidP="00F74946">
            <w:pPr>
              <w:rPr>
                <w:rFonts w:ascii="Gotham Book" w:eastAsia="Calibri" w:hAnsi="Gotham Book" w:cstheme="minorHAnsi"/>
              </w:rPr>
            </w:pPr>
            <w:r w:rsidRPr="00646746">
              <w:rPr>
                <w:rFonts w:ascii="Gotham Book" w:eastAsia="Calibri" w:hAnsi="Gotham Book" w:cstheme="minorHAnsi"/>
                <w:b/>
              </w:rPr>
              <w:t>Balance of effects</w:t>
            </w:r>
          </w:p>
          <w:p w14:paraId="248C3EFA" w14:textId="1598EEC9" w:rsidR="00977A69" w:rsidRPr="00646746" w:rsidRDefault="00F74946" w:rsidP="00F74946">
            <w:pPr>
              <w:spacing w:after="160" w:line="259" w:lineRule="auto"/>
              <w:rPr>
                <w:rFonts w:ascii="Gotham Book" w:hAnsi="Gotham Book" w:cstheme="minorHAnsi"/>
              </w:rPr>
            </w:pPr>
            <w:r w:rsidRPr="00646746">
              <w:rPr>
                <w:rFonts w:ascii="Gotham Book" w:eastAsia="Calibri" w:hAnsi="Gotham Book" w:cstheme="minorHAnsi"/>
              </w:rPr>
              <w:t>Does the balance between desirable and undesirable effects favour the intervention or the alternative?</w:t>
            </w:r>
          </w:p>
        </w:tc>
        <w:tc>
          <w:tcPr>
            <w:tcW w:w="3005" w:type="dxa"/>
            <w:shd w:val="clear" w:color="auto" w:fill="D9D9D9" w:themeFill="background1" w:themeFillShade="D9"/>
          </w:tcPr>
          <w:p w14:paraId="36BE3F80" w14:textId="77777777" w:rsidR="0087407E" w:rsidRPr="00646746" w:rsidRDefault="0087407E" w:rsidP="0087407E">
            <w:pPr>
              <w:pStyle w:val="Default"/>
              <w:rPr>
                <w:rFonts w:ascii="Gotham Book" w:hAnsi="Gotham Book" w:cstheme="minorHAnsi"/>
                <w:sz w:val="22"/>
                <w:szCs w:val="22"/>
              </w:rPr>
            </w:pPr>
            <w:r w:rsidRPr="00646746">
              <w:rPr>
                <w:rFonts w:ascii="Gotham Book" w:hAnsi="Gotham Book" w:cstheme="minorHAnsi"/>
                <w:sz w:val="22"/>
                <w:szCs w:val="22"/>
              </w:rPr>
              <w:t xml:space="preserve">Judgement of whether the benefit outweighs the harms (most often, limited to the effects on health outcomes). </w:t>
            </w:r>
          </w:p>
          <w:p w14:paraId="3358C461" w14:textId="69603336" w:rsidR="00977A69" w:rsidRPr="00646746" w:rsidRDefault="0087407E" w:rsidP="0087407E">
            <w:pPr>
              <w:spacing w:after="160" w:line="259" w:lineRule="auto"/>
              <w:rPr>
                <w:rFonts w:ascii="Gotham Book" w:hAnsi="Gotham Book" w:cstheme="minorHAnsi"/>
              </w:rPr>
            </w:pPr>
            <w:r w:rsidRPr="00646746">
              <w:rPr>
                <w:rFonts w:ascii="Gotham Book" w:hAnsi="Gotham Book" w:cstheme="minorHAnsi"/>
              </w:rPr>
              <w:t xml:space="preserve">Guideline groups may find it easier to make separate judgements </w:t>
            </w:r>
            <w:r w:rsidRPr="00646746">
              <w:rPr>
                <w:rFonts w:ascii="Gotham Book" w:hAnsi="Gotham Book" w:cstheme="minorHAnsi"/>
              </w:rPr>
              <w:lastRenderedPageBreak/>
              <w:t xml:space="preserve">about desirable and undesirable effects (as below), before making a judgement about the balance of effects. Certainty and values are factored into the overall judgement of whether there is net benefit. </w:t>
            </w:r>
          </w:p>
        </w:tc>
        <w:tc>
          <w:tcPr>
            <w:tcW w:w="3006" w:type="dxa"/>
            <w:shd w:val="clear" w:color="auto" w:fill="D9D9D9" w:themeFill="background1" w:themeFillShade="D9"/>
          </w:tcPr>
          <w:p w14:paraId="7AB4757C" w14:textId="77777777" w:rsidR="008A49DE" w:rsidRPr="00646746" w:rsidRDefault="008A49DE" w:rsidP="008A49DE">
            <w:pPr>
              <w:pStyle w:val="Default"/>
              <w:rPr>
                <w:rFonts w:ascii="Gotham Book" w:hAnsi="Gotham Book" w:cstheme="minorHAnsi"/>
                <w:sz w:val="22"/>
                <w:szCs w:val="22"/>
              </w:rPr>
            </w:pPr>
            <w:r w:rsidRPr="00646746">
              <w:rPr>
                <w:rFonts w:ascii="Gotham Book" w:hAnsi="Gotham Book" w:cstheme="minorHAnsi"/>
                <w:sz w:val="22"/>
                <w:szCs w:val="22"/>
              </w:rPr>
              <w:lastRenderedPageBreak/>
              <w:t xml:space="preserve">Systematic review of studies examining the effects of the intervention or exposure (or equivalent for prognostic or diagnostic questions). </w:t>
            </w:r>
          </w:p>
          <w:p w14:paraId="6F72829F" w14:textId="25B60197" w:rsidR="00977A69" w:rsidRPr="00646746" w:rsidRDefault="008A49DE" w:rsidP="008A49DE">
            <w:pPr>
              <w:spacing w:after="160" w:line="259" w:lineRule="auto"/>
              <w:rPr>
                <w:rFonts w:ascii="Gotham Book" w:hAnsi="Gotham Book" w:cstheme="minorHAnsi"/>
              </w:rPr>
            </w:pPr>
            <w:r w:rsidRPr="00646746">
              <w:rPr>
                <w:rFonts w:ascii="Gotham Book" w:hAnsi="Gotham Book" w:cstheme="minorHAnsi"/>
              </w:rPr>
              <w:lastRenderedPageBreak/>
              <w:t xml:space="preserve">May include systematically collected expert evidence (especially for rare conditions). </w:t>
            </w:r>
          </w:p>
        </w:tc>
      </w:tr>
      <w:tr w:rsidR="00977A69" w:rsidRPr="00C66AFF" w14:paraId="433B7957" w14:textId="77777777" w:rsidTr="0036465F">
        <w:tc>
          <w:tcPr>
            <w:tcW w:w="3005" w:type="dxa"/>
            <w:shd w:val="clear" w:color="auto" w:fill="FFFFFF" w:themeFill="background1"/>
          </w:tcPr>
          <w:p w14:paraId="4678D521" w14:textId="3B239393" w:rsidR="00F56CB1" w:rsidRDefault="008A49DE" w:rsidP="0036465F">
            <w:pPr>
              <w:pStyle w:val="Default"/>
              <w:rPr>
                <w:rFonts w:ascii="Gotham Book" w:hAnsi="Gotham Book" w:cstheme="minorHAnsi"/>
                <w:b/>
                <w:bCs/>
                <w:sz w:val="22"/>
                <w:szCs w:val="22"/>
              </w:rPr>
            </w:pPr>
            <w:r w:rsidRPr="0079145A">
              <w:rPr>
                <w:rFonts w:ascii="Gotham Book" w:hAnsi="Gotham Book" w:cstheme="minorHAnsi"/>
                <w:b/>
                <w:sz w:val="22"/>
                <w:szCs w:val="22"/>
              </w:rPr>
              <w:lastRenderedPageBreak/>
              <w:t xml:space="preserve">Desirable effects </w:t>
            </w:r>
          </w:p>
          <w:p w14:paraId="4BB944FB" w14:textId="4BF9BA9C" w:rsidR="008A49DE" w:rsidRPr="0079145A" w:rsidRDefault="008A49DE" w:rsidP="0036465F">
            <w:pPr>
              <w:pStyle w:val="Default"/>
              <w:rPr>
                <w:rFonts w:ascii="Gotham Book" w:hAnsi="Gotham Book" w:cstheme="minorHAnsi"/>
                <w:sz w:val="22"/>
                <w:szCs w:val="22"/>
              </w:rPr>
            </w:pPr>
            <w:r w:rsidRPr="0079145A">
              <w:rPr>
                <w:rFonts w:ascii="Gotham Book" w:hAnsi="Gotham Book" w:cstheme="minorHAnsi"/>
                <w:sz w:val="22"/>
                <w:szCs w:val="22"/>
              </w:rPr>
              <w:t xml:space="preserve">How substantial are the desirable anticipated effects? </w:t>
            </w:r>
          </w:p>
          <w:p w14:paraId="46289730" w14:textId="77777777" w:rsidR="00DE5443" w:rsidRPr="00646746" w:rsidRDefault="00DE5443" w:rsidP="00DE5443">
            <w:pPr>
              <w:pStyle w:val="Default"/>
              <w:rPr>
                <w:rFonts w:ascii="Gotham Book" w:hAnsi="Gotham Book" w:cstheme="minorHAnsi"/>
                <w:color w:val="auto"/>
                <w:sz w:val="22"/>
                <w:szCs w:val="22"/>
              </w:rPr>
            </w:pPr>
          </w:p>
          <w:p w14:paraId="732C037F" w14:textId="77777777" w:rsidR="00977A69" w:rsidRPr="0079145A" w:rsidRDefault="00977A69" w:rsidP="00DE5443">
            <w:pPr>
              <w:pStyle w:val="Default"/>
              <w:rPr>
                <w:rFonts w:ascii="Gotham Book" w:hAnsi="Gotham Book" w:cstheme="minorHAnsi"/>
                <w:b/>
                <w:sz w:val="22"/>
                <w:szCs w:val="22"/>
              </w:rPr>
            </w:pPr>
          </w:p>
        </w:tc>
        <w:tc>
          <w:tcPr>
            <w:tcW w:w="3005" w:type="dxa"/>
            <w:shd w:val="clear" w:color="auto" w:fill="FFFFFF" w:themeFill="background1"/>
          </w:tcPr>
          <w:p w14:paraId="00E3F14B" w14:textId="77777777" w:rsidR="00DE5443" w:rsidRPr="00646746" w:rsidRDefault="00DE5443" w:rsidP="00DE5443">
            <w:pPr>
              <w:pStyle w:val="Default"/>
              <w:rPr>
                <w:rFonts w:ascii="Gotham Book" w:hAnsi="Gotham Book" w:cstheme="minorHAnsi"/>
                <w:sz w:val="22"/>
                <w:szCs w:val="22"/>
              </w:rPr>
            </w:pPr>
            <w:r w:rsidRPr="00646746">
              <w:rPr>
                <w:rFonts w:ascii="Gotham Book" w:hAnsi="Gotham Book" w:cstheme="minorHAnsi"/>
                <w:sz w:val="22"/>
                <w:szCs w:val="22"/>
              </w:rPr>
              <w:t xml:space="preserve">Judgement across all outcomes for which there is a desirable effect (e.g. a reduction in pain, an increase in function). Consider the importance of each outcome to consumers (value) and the size of effect. </w:t>
            </w:r>
          </w:p>
          <w:p w14:paraId="7A8F2781" w14:textId="77777777" w:rsidR="00977A69" w:rsidRPr="0079145A" w:rsidRDefault="00977A69" w:rsidP="00F0253F">
            <w:pPr>
              <w:spacing w:after="160" w:line="259" w:lineRule="auto"/>
              <w:rPr>
                <w:rFonts w:ascii="Gotham Book" w:hAnsi="Gotham Book" w:cstheme="minorHAnsi"/>
              </w:rPr>
            </w:pPr>
          </w:p>
        </w:tc>
        <w:tc>
          <w:tcPr>
            <w:tcW w:w="3006" w:type="dxa"/>
            <w:shd w:val="clear" w:color="auto" w:fill="FFFFFF" w:themeFill="background1"/>
          </w:tcPr>
          <w:p w14:paraId="60EB702E" w14:textId="77777777" w:rsidR="00977A69" w:rsidRPr="0079145A" w:rsidRDefault="00977A69" w:rsidP="00F0253F">
            <w:pPr>
              <w:spacing w:after="160" w:line="259" w:lineRule="auto"/>
              <w:rPr>
                <w:rFonts w:ascii="Gotham Book" w:hAnsi="Gotham Book" w:cstheme="minorHAnsi"/>
              </w:rPr>
            </w:pPr>
          </w:p>
        </w:tc>
      </w:tr>
      <w:tr w:rsidR="00977A69" w:rsidRPr="00C66AFF" w14:paraId="77ED6FF2" w14:textId="77777777" w:rsidTr="0036465F">
        <w:tc>
          <w:tcPr>
            <w:tcW w:w="3005" w:type="dxa"/>
            <w:shd w:val="clear" w:color="auto" w:fill="FFFFFF" w:themeFill="background1"/>
          </w:tcPr>
          <w:p w14:paraId="05BC5EA4" w14:textId="3088972C" w:rsidR="00F56CB1" w:rsidRDefault="00DE5443" w:rsidP="0036465F">
            <w:pPr>
              <w:pStyle w:val="Default"/>
              <w:rPr>
                <w:rFonts w:ascii="Gotham Book" w:hAnsi="Gotham Book" w:cstheme="minorHAnsi"/>
                <w:b/>
                <w:bCs/>
                <w:sz w:val="22"/>
                <w:szCs w:val="22"/>
              </w:rPr>
            </w:pPr>
            <w:r w:rsidRPr="0079145A">
              <w:rPr>
                <w:rFonts w:ascii="Gotham Book" w:hAnsi="Gotham Book" w:cstheme="minorHAnsi"/>
                <w:b/>
                <w:sz w:val="22"/>
                <w:szCs w:val="22"/>
              </w:rPr>
              <w:t xml:space="preserve">Undesirable effects </w:t>
            </w:r>
          </w:p>
          <w:p w14:paraId="578FBB28" w14:textId="62AF9A39" w:rsidR="00DE5443" w:rsidRPr="0079145A" w:rsidRDefault="00DE5443" w:rsidP="0036465F">
            <w:pPr>
              <w:pStyle w:val="Default"/>
              <w:rPr>
                <w:rFonts w:ascii="Gotham Book" w:hAnsi="Gotham Book" w:cstheme="minorHAnsi"/>
                <w:sz w:val="22"/>
                <w:szCs w:val="22"/>
              </w:rPr>
            </w:pPr>
            <w:r w:rsidRPr="0079145A">
              <w:rPr>
                <w:rFonts w:ascii="Gotham Book" w:hAnsi="Gotham Book" w:cstheme="minorHAnsi"/>
                <w:sz w:val="22"/>
                <w:szCs w:val="22"/>
              </w:rPr>
              <w:t xml:space="preserve">How substantial are the desirable anticipated effects? </w:t>
            </w:r>
          </w:p>
          <w:p w14:paraId="5BAAD645" w14:textId="77777777" w:rsidR="00977A69" w:rsidRPr="0079145A" w:rsidRDefault="00977A69" w:rsidP="00F0253F">
            <w:pPr>
              <w:spacing w:after="160" w:line="259" w:lineRule="auto"/>
              <w:rPr>
                <w:rFonts w:ascii="Gotham Book" w:hAnsi="Gotham Book" w:cstheme="minorHAnsi"/>
              </w:rPr>
            </w:pPr>
          </w:p>
        </w:tc>
        <w:tc>
          <w:tcPr>
            <w:tcW w:w="3005" w:type="dxa"/>
            <w:shd w:val="clear" w:color="auto" w:fill="FFFFFF" w:themeFill="background1"/>
          </w:tcPr>
          <w:p w14:paraId="1629039E" w14:textId="77777777" w:rsidR="00DE5443" w:rsidRPr="00646746" w:rsidRDefault="00DE5443" w:rsidP="00DE5443">
            <w:pPr>
              <w:pStyle w:val="Default"/>
              <w:rPr>
                <w:rFonts w:ascii="Gotham Book" w:hAnsi="Gotham Book" w:cstheme="minorHAnsi"/>
                <w:sz w:val="22"/>
                <w:szCs w:val="22"/>
              </w:rPr>
            </w:pPr>
            <w:r w:rsidRPr="00646746">
              <w:rPr>
                <w:rFonts w:ascii="Gotham Book" w:hAnsi="Gotham Book" w:cstheme="minorHAnsi"/>
                <w:sz w:val="22"/>
                <w:szCs w:val="22"/>
              </w:rPr>
              <w:t xml:space="preserve">Judgement across all outcomes for which there is an undesirable effect (e.g. an increase in pain, a reduction in function). </w:t>
            </w:r>
          </w:p>
          <w:p w14:paraId="43EB02D6" w14:textId="77777777" w:rsidR="00977A69" w:rsidRPr="0079145A" w:rsidRDefault="00977A69" w:rsidP="00F0253F">
            <w:pPr>
              <w:spacing w:after="160" w:line="259" w:lineRule="auto"/>
              <w:rPr>
                <w:rFonts w:ascii="Gotham Book" w:hAnsi="Gotham Book" w:cstheme="minorHAnsi"/>
              </w:rPr>
            </w:pPr>
          </w:p>
        </w:tc>
        <w:tc>
          <w:tcPr>
            <w:tcW w:w="3006" w:type="dxa"/>
            <w:shd w:val="clear" w:color="auto" w:fill="FFFFFF" w:themeFill="background1"/>
          </w:tcPr>
          <w:p w14:paraId="29D8A98E" w14:textId="77777777" w:rsidR="00977A69" w:rsidRPr="0079145A" w:rsidRDefault="00977A69" w:rsidP="00F0253F">
            <w:pPr>
              <w:spacing w:after="160" w:line="259" w:lineRule="auto"/>
              <w:rPr>
                <w:rFonts w:ascii="Gotham Book" w:hAnsi="Gotham Book" w:cstheme="minorHAnsi"/>
              </w:rPr>
            </w:pPr>
          </w:p>
        </w:tc>
      </w:tr>
      <w:tr w:rsidR="00977A69" w:rsidRPr="00C66AFF" w14:paraId="6E8839A3" w14:textId="77777777" w:rsidTr="0036465F">
        <w:tc>
          <w:tcPr>
            <w:tcW w:w="3005" w:type="dxa"/>
            <w:shd w:val="clear" w:color="auto" w:fill="FFFFFF" w:themeFill="background1"/>
          </w:tcPr>
          <w:p w14:paraId="39E9CD47" w14:textId="6F2972EB" w:rsidR="00DE5443" w:rsidRPr="00646746" w:rsidRDefault="00DE5443" w:rsidP="0036465F">
            <w:pPr>
              <w:pStyle w:val="Default"/>
              <w:rPr>
                <w:rFonts w:ascii="Gotham Book" w:hAnsi="Gotham Book" w:cstheme="minorHAnsi"/>
                <w:sz w:val="22"/>
                <w:szCs w:val="22"/>
              </w:rPr>
            </w:pPr>
            <w:r w:rsidRPr="00646746">
              <w:rPr>
                <w:rFonts w:ascii="Gotham Book" w:hAnsi="Gotham Book" w:cstheme="minorHAnsi"/>
                <w:b/>
                <w:sz w:val="22"/>
                <w:szCs w:val="22"/>
              </w:rPr>
              <w:t xml:space="preserve">Certainty of the evidence of effects </w:t>
            </w:r>
            <w:r w:rsidRPr="00646746">
              <w:rPr>
                <w:rFonts w:ascii="Gotham Book" w:hAnsi="Gotham Book" w:cstheme="minorHAnsi"/>
                <w:sz w:val="22"/>
                <w:szCs w:val="22"/>
              </w:rPr>
              <w:t xml:space="preserve">What is the overall certainty of the evidence of effects? </w:t>
            </w:r>
          </w:p>
          <w:p w14:paraId="6AEC7C11" w14:textId="77777777" w:rsidR="00977A69" w:rsidRPr="00646746" w:rsidRDefault="00977A69" w:rsidP="00F0253F">
            <w:pPr>
              <w:spacing w:after="160" w:line="259" w:lineRule="auto"/>
              <w:rPr>
                <w:rFonts w:ascii="Gotham Book" w:hAnsi="Gotham Book" w:cstheme="minorHAnsi"/>
              </w:rPr>
            </w:pPr>
          </w:p>
        </w:tc>
        <w:tc>
          <w:tcPr>
            <w:tcW w:w="3005" w:type="dxa"/>
            <w:shd w:val="clear" w:color="auto" w:fill="FFFFFF" w:themeFill="background1"/>
          </w:tcPr>
          <w:p w14:paraId="477E2163" w14:textId="77777777" w:rsidR="00B7559C" w:rsidRPr="00646746" w:rsidRDefault="00B7559C" w:rsidP="00B7559C">
            <w:pPr>
              <w:pStyle w:val="Default"/>
              <w:rPr>
                <w:rFonts w:ascii="Gotham Book" w:hAnsi="Gotham Book" w:cstheme="minorHAnsi"/>
                <w:sz w:val="22"/>
                <w:szCs w:val="22"/>
              </w:rPr>
            </w:pPr>
            <w:r w:rsidRPr="00646746">
              <w:rPr>
                <w:rFonts w:ascii="Gotham Book" w:hAnsi="Gotham Book" w:cstheme="minorHAnsi"/>
                <w:sz w:val="22"/>
                <w:szCs w:val="22"/>
              </w:rPr>
              <w:t xml:space="preserve">Overall judgement of certainty across all outcomes (especially critical outcomes) </w:t>
            </w:r>
          </w:p>
          <w:p w14:paraId="0D607A69" w14:textId="77777777" w:rsidR="00977A69" w:rsidRPr="00646746" w:rsidRDefault="00977A69" w:rsidP="00F0253F">
            <w:pPr>
              <w:spacing w:after="160" w:line="259" w:lineRule="auto"/>
              <w:rPr>
                <w:rFonts w:ascii="Gotham Book" w:hAnsi="Gotham Book" w:cstheme="minorHAnsi"/>
              </w:rPr>
            </w:pPr>
          </w:p>
        </w:tc>
        <w:tc>
          <w:tcPr>
            <w:tcW w:w="3006" w:type="dxa"/>
            <w:shd w:val="clear" w:color="auto" w:fill="FFFFFF" w:themeFill="background1"/>
          </w:tcPr>
          <w:p w14:paraId="65C75B85" w14:textId="196376F5" w:rsidR="00A07957" w:rsidRPr="00646746" w:rsidRDefault="00A07957" w:rsidP="00A07957">
            <w:pPr>
              <w:pStyle w:val="Default"/>
              <w:rPr>
                <w:rFonts w:ascii="Gotham Book" w:hAnsi="Gotham Book" w:cstheme="minorHAnsi"/>
                <w:sz w:val="22"/>
                <w:szCs w:val="22"/>
              </w:rPr>
            </w:pPr>
            <w:hyperlink r:id="rId20" w:history="1">
              <w:r w:rsidRPr="00646746">
                <w:rPr>
                  <w:rStyle w:val="Hyperlink"/>
                  <w:rFonts w:ascii="Gotham Book" w:hAnsi="Gotham Book" w:cstheme="minorHAnsi"/>
                  <w:sz w:val="22"/>
                  <w:szCs w:val="22"/>
                </w:rPr>
                <w:t>GRADE assessment of certainty of the evidence</w:t>
              </w:r>
            </w:hyperlink>
            <w:r w:rsidRPr="00646746">
              <w:rPr>
                <w:rFonts w:ascii="Gotham Book" w:hAnsi="Gotham Book" w:cstheme="minorHAnsi"/>
                <w:color w:val="0562C1"/>
                <w:sz w:val="22"/>
                <w:szCs w:val="22"/>
              </w:rPr>
              <w:t xml:space="preserve"> </w:t>
            </w:r>
            <w:r w:rsidRPr="00646746">
              <w:rPr>
                <w:rFonts w:ascii="Gotham Book" w:hAnsi="Gotham Book" w:cstheme="minorHAnsi"/>
                <w:sz w:val="22"/>
                <w:szCs w:val="22"/>
              </w:rPr>
              <w:t xml:space="preserve">for each outcome considered in the systematic review of the effects of the intervention (or equivalent). </w:t>
            </w:r>
          </w:p>
          <w:p w14:paraId="4944C6B7" w14:textId="77777777" w:rsidR="00977A69" w:rsidRPr="00646746" w:rsidRDefault="00977A69" w:rsidP="00F0253F">
            <w:pPr>
              <w:spacing w:after="160" w:line="259" w:lineRule="auto"/>
              <w:rPr>
                <w:rFonts w:ascii="Gotham Book" w:hAnsi="Gotham Book" w:cstheme="minorHAnsi"/>
              </w:rPr>
            </w:pPr>
          </w:p>
        </w:tc>
      </w:tr>
      <w:tr w:rsidR="00977A69" w:rsidRPr="00C66AFF" w14:paraId="52B9089A" w14:textId="77777777" w:rsidTr="0036465F">
        <w:tc>
          <w:tcPr>
            <w:tcW w:w="3005" w:type="dxa"/>
            <w:shd w:val="clear" w:color="auto" w:fill="FFFFFF" w:themeFill="background1"/>
          </w:tcPr>
          <w:p w14:paraId="13BB0B2C" w14:textId="0F74B076" w:rsidR="00F56CB1" w:rsidRDefault="009F2407" w:rsidP="0036465F">
            <w:pPr>
              <w:pStyle w:val="Default"/>
              <w:rPr>
                <w:rFonts w:ascii="Gotham Book" w:hAnsi="Gotham Book" w:cstheme="minorHAnsi"/>
                <w:b/>
                <w:bCs/>
                <w:sz w:val="22"/>
                <w:szCs w:val="22"/>
              </w:rPr>
            </w:pPr>
            <w:r w:rsidRPr="0079145A">
              <w:rPr>
                <w:rFonts w:ascii="Gotham Book" w:hAnsi="Gotham Book" w:cstheme="minorHAnsi"/>
                <w:b/>
                <w:sz w:val="22"/>
                <w:szCs w:val="22"/>
              </w:rPr>
              <w:t xml:space="preserve">Values </w:t>
            </w:r>
          </w:p>
          <w:p w14:paraId="01DD506F" w14:textId="437FAA74" w:rsidR="009F2407" w:rsidRPr="0079145A" w:rsidRDefault="009F2407" w:rsidP="0036465F">
            <w:pPr>
              <w:pStyle w:val="Default"/>
              <w:rPr>
                <w:rFonts w:ascii="Gotham Book" w:hAnsi="Gotham Book" w:cstheme="minorHAnsi"/>
                <w:sz w:val="22"/>
                <w:szCs w:val="22"/>
              </w:rPr>
            </w:pPr>
            <w:r w:rsidRPr="0079145A">
              <w:rPr>
                <w:rFonts w:ascii="Gotham Book" w:hAnsi="Gotham Book" w:cstheme="minorHAnsi"/>
                <w:sz w:val="22"/>
                <w:szCs w:val="22"/>
              </w:rPr>
              <w:t xml:space="preserve">Is there important uncertainty about or variability in how much people value the main outcomes? </w:t>
            </w:r>
          </w:p>
          <w:p w14:paraId="7B181647" w14:textId="77777777" w:rsidR="00977A69" w:rsidRPr="0079145A" w:rsidRDefault="00977A69" w:rsidP="00F0253F">
            <w:pPr>
              <w:spacing w:after="160" w:line="259" w:lineRule="auto"/>
              <w:rPr>
                <w:rFonts w:ascii="Gotham Book" w:hAnsi="Gotham Book" w:cstheme="minorHAnsi"/>
              </w:rPr>
            </w:pPr>
          </w:p>
        </w:tc>
        <w:tc>
          <w:tcPr>
            <w:tcW w:w="3005" w:type="dxa"/>
            <w:shd w:val="clear" w:color="auto" w:fill="FFFFFF" w:themeFill="background1"/>
          </w:tcPr>
          <w:p w14:paraId="39B8AE38" w14:textId="77777777" w:rsidR="009F2407" w:rsidRPr="00646746" w:rsidRDefault="009F2407" w:rsidP="009F2407">
            <w:pPr>
              <w:pStyle w:val="Default"/>
              <w:rPr>
                <w:rFonts w:ascii="Gotham Book" w:hAnsi="Gotham Book" w:cstheme="minorHAnsi"/>
                <w:sz w:val="22"/>
                <w:szCs w:val="22"/>
              </w:rPr>
            </w:pPr>
            <w:r w:rsidRPr="00646746">
              <w:rPr>
                <w:rFonts w:ascii="Gotham Book" w:hAnsi="Gotham Book" w:cstheme="minorHAnsi"/>
                <w:sz w:val="22"/>
                <w:szCs w:val="22"/>
              </w:rPr>
              <w:t xml:space="preserve">Judgement of whether people receiving the intervention (patients, consumers, family carers) would make similar choices (to accept or reject the intervention) based on </w:t>
            </w:r>
            <w:r w:rsidRPr="00646746">
              <w:rPr>
                <w:rFonts w:ascii="Gotham Book" w:hAnsi="Gotham Book" w:cstheme="minorHAnsi"/>
                <w:sz w:val="22"/>
                <w:szCs w:val="22"/>
              </w:rPr>
              <w:lastRenderedPageBreak/>
              <w:t xml:space="preserve">how they weigh up the benefits and harms/burden of the intervention. Would recipients of the intervention have differing opinions on how important the main outcomes are? For example, would some accept a moderate reduction in quality of life for a small increase in life expectancy, whereas others would not. </w:t>
            </w:r>
          </w:p>
          <w:p w14:paraId="661B8991" w14:textId="77777777" w:rsidR="00977A69" w:rsidRPr="0079145A" w:rsidRDefault="00977A69" w:rsidP="00F0253F">
            <w:pPr>
              <w:spacing w:after="160" w:line="259" w:lineRule="auto"/>
              <w:rPr>
                <w:rFonts w:ascii="Gotham Book" w:hAnsi="Gotham Book" w:cstheme="minorHAnsi"/>
              </w:rPr>
            </w:pPr>
          </w:p>
        </w:tc>
        <w:tc>
          <w:tcPr>
            <w:tcW w:w="3006" w:type="dxa"/>
            <w:shd w:val="clear" w:color="auto" w:fill="FFFFFF" w:themeFill="background1"/>
          </w:tcPr>
          <w:p w14:paraId="041B1CB9" w14:textId="0EB75D0A" w:rsidR="009F2407" w:rsidRPr="00646746" w:rsidRDefault="009F2407" w:rsidP="009F2407">
            <w:pPr>
              <w:pStyle w:val="Default"/>
              <w:rPr>
                <w:rFonts w:ascii="Gotham Book" w:hAnsi="Gotham Book" w:cstheme="minorHAnsi"/>
                <w:sz w:val="22"/>
                <w:szCs w:val="22"/>
              </w:rPr>
            </w:pPr>
            <w:r w:rsidRPr="00646746">
              <w:rPr>
                <w:rFonts w:ascii="Gotham Book" w:hAnsi="Gotham Book" w:cstheme="minorHAnsi"/>
                <w:sz w:val="22"/>
                <w:szCs w:val="22"/>
              </w:rPr>
              <w:lastRenderedPageBreak/>
              <w:t xml:space="preserve">Studies that report direct measures of the value of the outcome (health utilities or </w:t>
            </w:r>
            <w:proofErr w:type="spellStart"/>
            <w:r w:rsidRPr="00646746">
              <w:rPr>
                <w:rFonts w:ascii="Gotham Book" w:hAnsi="Gotham Book" w:cstheme="minorHAnsi"/>
                <w:sz w:val="22"/>
                <w:szCs w:val="22"/>
              </w:rPr>
              <w:t>disutilities</w:t>
            </w:r>
            <w:proofErr w:type="spellEnd"/>
            <w:r w:rsidRPr="00646746">
              <w:rPr>
                <w:rFonts w:ascii="Gotham Book" w:hAnsi="Gotham Book" w:cstheme="minorHAnsi"/>
                <w:sz w:val="22"/>
                <w:szCs w:val="22"/>
              </w:rPr>
              <w:t xml:space="preserve">); indirect measures (e.g. health-related quality of life instruments); other ratings of the relative </w:t>
            </w:r>
            <w:r w:rsidRPr="00646746">
              <w:rPr>
                <w:rFonts w:ascii="Gotham Book" w:hAnsi="Gotham Book" w:cstheme="minorHAnsi"/>
                <w:sz w:val="22"/>
                <w:szCs w:val="22"/>
              </w:rPr>
              <w:lastRenderedPageBreak/>
              <w:t>importance of outcomes (surveys); and qualitative studies</w:t>
            </w:r>
            <w:r w:rsidR="003E6347" w:rsidRPr="003E6347">
              <w:rPr>
                <w:rFonts w:ascii="Gotham Book" w:hAnsi="Gotham Book" w:cstheme="minorHAnsi"/>
                <w:sz w:val="22"/>
                <w:szCs w:val="22"/>
                <w:vertAlign w:val="superscript"/>
              </w:rPr>
              <w:t>18,19</w:t>
            </w:r>
            <w:r w:rsidR="001E6BD4">
              <w:rPr>
                <w:rFonts w:ascii="Gotham Book" w:hAnsi="Gotham Book" w:cstheme="minorHAnsi"/>
                <w:sz w:val="22"/>
                <w:szCs w:val="22"/>
              </w:rPr>
              <w:t xml:space="preserve">. </w:t>
            </w:r>
            <w:r w:rsidRPr="00646746">
              <w:rPr>
                <w:rFonts w:ascii="Gotham Book" w:hAnsi="Gotham Book" w:cstheme="minorHAnsi"/>
                <w:sz w:val="22"/>
                <w:szCs w:val="22"/>
              </w:rPr>
              <w:t xml:space="preserve">If evidence is unavailable, a panel can consider their experience especially that of members with lived experience. </w:t>
            </w:r>
          </w:p>
          <w:p w14:paraId="49796F8B" w14:textId="77777777" w:rsidR="00977A69" w:rsidRPr="0079145A" w:rsidRDefault="00977A69" w:rsidP="00F0253F">
            <w:pPr>
              <w:spacing w:after="160" w:line="259" w:lineRule="auto"/>
              <w:rPr>
                <w:rFonts w:ascii="Gotham Book" w:hAnsi="Gotham Book" w:cstheme="minorHAnsi"/>
              </w:rPr>
            </w:pPr>
          </w:p>
        </w:tc>
      </w:tr>
      <w:tr w:rsidR="00977A69" w:rsidRPr="00C66AFF" w14:paraId="01999AB5" w14:textId="77777777" w:rsidTr="0079145A">
        <w:tc>
          <w:tcPr>
            <w:tcW w:w="3005" w:type="dxa"/>
            <w:shd w:val="clear" w:color="auto" w:fill="DAEEF3" w:themeFill="accent5" w:themeFillTint="33"/>
          </w:tcPr>
          <w:p w14:paraId="273976A4" w14:textId="77777777" w:rsidR="007F73D4" w:rsidRPr="00646746" w:rsidRDefault="007F73D4" w:rsidP="007F73D4">
            <w:pPr>
              <w:pStyle w:val="Default"/>
              <w:rPr>
                <w:rFonts w:ascii="Gotham Book" w:hAnsi="Gotham Book" w:cstheme="minorHAnsi"/>
                <w:sz w:val="22"/>
                <w:szCs w:val="22"/>
              </w:rPr>
            </w:pPr>
            <w:r w:rsidRPr="00646746">
              <w:rPr>
                <w:rFonts w:ascii="Gotham Book" w:hAnsi="Gotham Book" w:cstheme="minorHAnsi"/>
                <w:b/>
                <w:sz w:val="22"/>
                <w:szCs w:val="22"/>
              </w:rPr>
              <w:lastRenderedPageBreak/>
              <w:t xml:space="preserve">Cost effectiveness </w:t>
            </w:r>
          </w:p>
          <w:p w14:paraId="1F8BE55F" w14:textId="2B4A7522" w:rsidR="00977A69" w:rsidRPr="00646746" w:rsidRDefault="007F73D4" w:rsidP="007F73D4">
            <w:pPr>
              <w:spacing w:after="160" w:line="259" w:lineRule="auto"/>
              <w:rPr>
                <w:rFonts w:ascii="Gotham Book" w:hAnsi="Gotham Book" w:cstheme="minorHAnsi"/>
              </w:rPr>
            </w:pPr>
            <w:r w:rsidRPr="00646746">
              <w:rPr>
                <w:rFonts w:ascii="Gotham Book" w:hAnsi="Gotham Book" w:cstheme="minorHAnsi"/>
              </w:rPr>
              <w:t xml:space="preserve">Does the cost-effectiveness of the intervention favour the intervention or the alternative? </w:t>
            </w:r>
          </w:p>
        </w:tc>
        <w:tc>
          <w:tcPr>
            <w:tcW w:w="3005" w:type="dxa"/>
            <w:shd w:val="clear" w:color="auto" w:fill="D9D9D9" w:themeFill="background1" w:themeFillShade="D9"/>
          </w:tcPr>
          <w:p w14:paraId="0797EF40" w14:textId="77777777" w:rsidR="007F73D4" w:rsidRPr="00646746" w:rsidRDefault="007F73D4" w:rsidP="007F73D4">
            <w:pPr>
              <w:pStyle w:val="Default"/>
              <w:rPr>
                <w:rFonts w:ascii="Gotham Book" w:hAnsi="Gotham Book" w:cstheme="minorHAnsi"/>
                <w:sz w:val="22"/>
                <w:szCs w:val="22"/>
              </w:rPr>
            </w:pPr>
            <w:r w:rsidRPr="00646746">
              <w:rPr>
                <w:rFonts w:ascii="Gotham Book" w:hAnsi="Gotham Book" w:cstheme="minorHAnsi"/>
                <w:sz w:val="22"/>
                <w:szCs w:val="22"/>
              </w:rPr>
              <w:t xml:space="preserve">Judgement of whether the net benefits are worth the incremental cost (consider balance of effects, resources, certainty of evidence) </w:t>
            </w:r>
          </w:p>
          <w:p w14:paraId="54EB36CA" w14:textId="77777777" w:rsidR="00977A69" w:rsidRPr="00646746" w:rsidRDefault="00977A69" w:rsidP="00F0253F">
            <w:pPr>
              <w:spacing w:after="160" w:line="259" w:lineRule="auto"/>
              <w:rPr>
                <w:rFonts w:ascii="Gotham Book" w:hAnsi="Gotham Book" w:cstheme="minorHAnsi"/>
              </w:rPr>
            </w:pPr>
          </w:p>
        </w:tc>
        <w:tc>
          <w:tcPr>
            <w:tcW w:w="3006" w:type="dxa"/>
            <w:shd w:val="clear" w:color="auto" w:fill="D9D9D9" w:themeFill="background1" w:themeFillShade="D9"/>
          </w:tcPr>
          <w:p w14:paraId="10DD8F53" w14:textId="77777777" w:rsidR="007F73D4" w:rsidRPr="00646746" w:rsidRDefault="007F73D4" w:rsidP="007F73D4">
            <w:pPr>
              <w:pStyle w:val="Default"/>
              <w:rPr>
                <w:rFonts w:ascii="Gotham Book" w:hAnsi="Gotham Book" w:cstheme="minorHAnsi"/>
                <w:sz w:val="22"/>
                <w:szCs w:val="22"/>
              </w:rPr>
            </w:pPr>
            <w:r w:rsidRPr="00646746">
              <w:rPr>
                <w:rFonts w:ascii="Gotham Book" w:hAnsi="Gotham Book" w:cstheme="minorHAnsi"/>
                <w:sz w:val="22"/>
                <w:szCs w:val="22"/>
              </w:rPr>
              <w:t xml:space="preserve">Outputs of de novo economic evaluations; implicit value judgement of the trade-offs by the guideline development group. </w:t>
            </w:r>
          </w:p>
          <w:p w14:paraId="5EA1D5F2" w14:textId="77777777" w:rsidR="00977A69" w:rsidRPr="00646746" w:rsidRDefault="00977A69" w:rsidP="00F0253F">
            <w:pPr>
              <w:spacing w:after="160" w:line="259" w:lineRule="auto"/>
              <w:rPr>
                <w:rFonts w:ascii="Gotham Book" w:hAnsi="Gotham Book" w:cstheme="minorHAnsi"/>
              </w:rPr>
            </w:pPr>
          </w:p>
        </w:tc>
      </w:tr>
      <w:tr w:rsidR="001E330E" w:rsidRPr="00C66AFF" w14:paraId="160F4AB1" w14:textId="77777777" w:rsidTr="0036465F">
        <w:tc>
          <w:tcPr>
            <w:tcW w:w="3005" w:type="dxa"/>
            <w:shd w:val="clear" w:color="auto" w:fill="FFFFFF" w:themeFill="background1"/>
          </w:tcPr>
          <w:p w14:paraId="0FCCEBA6" w14:textId="11BC1A72" w:rsidR="00F56CB1" w:rsidRDefault="001E330E" w:rsidP="0036465F">
            <w:pPr>
              <w:pStyle w:val="Default"/>
              <w:rPr>
                <w:rFonts w:ascii="Gotham Book" w:hAnsi="Gotham Book" w:cstheme="minorHAnsi"/>
                <w:b/>
                <w:bCs/>
                <w:sz w:val="22"/>
                <w:szCs w:val="22"/>
              </w:rPr>
            </w:pPr>
            <w:r w:rsidRPr="0079145A">
              <w:rPr>
                <w:rFonts w:ascii="Gotham Book" w:hAnsi="Gotham Book" w:cstheme="minorHAnsi"/>
                <w:b/>
                <w:sz w:val="22"/>
                <w:szCs w:val="22"/>
              </w:rPr>
              <w:t xml:space="preserve">Resources </w:t>
            </w:r>
          </w:p>
          <w:p w14:paraId="7B40C24F" w14:textId="068AA447" w:rsidR="001E330E" w:rsidRPr="0079145A" w:rsidRDefault="001E330E" w:rsidP="0036465F">
            <w:pPr>
              <w:pStyle w:val="Default"/>
              <w:rPr>
                <w:rFonts w:ascii="Gotham Book" w:hAnsi="Gotham Book" w:cstheme="minorHAnsi"/>
                <w:sz w:val="22"/>
                <w:szCs w:val="22"/>
              </w:rPr>
            </w:pPr>
            <w:r w:rsidRPr="0079145A">
              <w:rPr>
                <w:rFonts w:ascii="Gotham Book" w:hAnsi="Gotham Book" w:cstheme="minorHAnsi"/>
                <w:sz w:val="22"/>
                <w:szCs w:val="22"/>
              </w:rPr>
              <w:t xml:space="preserve">How large are the resource requirements (costs)? </w:t>
            </w:r>
          </w:p>
          <w:p w14:paraId="49F7ADBC" w14:textId="77777777" w:rsidR="001E330E" w:rsidRPr="0079145A" w:rsidRDefault="001E330E" w:rsidP="007F73D4">
            <w:pPr>
              <w:pStyle w:val="Default"/>
              <w:rPr>
                <w:rFonts w:ascii="Gotham Book" w:hAnsi="Gotham Book" w:cstheme="minorHAnsi"/>
                <w:b/>
                <w:sz w:val="22"/>
                <w:szCs w:val="22"/>
              </w:rPr>
            </w:pPr>
          </w:p>
        </w:tc>
        <w:tc>
          <w:tcPr>
            <w:tcW w:w="3005" w:type="dxa"/>
            <w:shd w:val="clear" w:color="auto" w:fill="FFFFFF" w:themeFill="background1"/>
          </w:tcPr>
          <w:p w14:paraId="571E1D88" w14:textId="77777777" w:rsidR="001E330E" w:rsidRPr="00646746" w:rsidRDefault="001E330E" w:rsidP="001E330E">
            <w:pPr>
              <w:pStyle w:val="Default"/>
              <w:rPr>
                <w:rFonts w:ascii="Gotham Book" w:hAnsi="Gotham Book" w:cstheme="minorHAnsi"/>
                <w:sz w:val="22"/>
                <w:szCs w:val="22"/>
              </w:rPr>
            </w:pPr>
            <w:r w:rsidRPr="00646746">
              <w:rPr>
                <w:rFonts w:ascii="Gotham Book" w:hAnsi="Gotham Book" w:cstheme="minorHAnsi"/>
                <w:sz w:val="22"/>
                <w:szCs w:val="22"/>
              </w:rPr>
              <w:t xml:space="preserve">Judgement of the difference in cost (or savings) between the intervention and alternative. May include consideration of health care, non-health care, and patient and informal caregiver resource use. </w:t>
            </w:r>
          </w:p>
          <w:p w14:paraId="3DD0E881" w14:textId="77777777" w:rsidR="001E330E" w:rsidRPr="0079145A" w:rsidRDefault="001E330E" w:rsidP="007F73D4">
            <w:pPr>
              <w:pStyle w:val="Default"/>
              <w:rPr>
                <w:rFonts w:ascii="Gotham Book" w:hAnsi="Gotham Book" w:cstheme="minorHAnsi"/>
                <w:sz w:val="22"/>
                <w:szCs w:val="22"/>
              </w:rPr>
            </w:pPr>
          </w:p>
        </w:tc>
        <w:tc>
          <w:tcPr>
            <w:tcW w:w="3006" w:type="dxa"/>
            <w:shd w:val="clear" w:color="auto" w:fill="FFFFFF" w:themeFill="background1"/>
          </w:tcPr>
          <w:p w14:paraId="616EE875" w14:textId="253960EB" w:rsidR="001E330E" w:rsidRPr="00833FC7" w:rsidRDefault="001E330E" w:rsidP="001E330E">
            <w:pPr>
              <w:pStyle w:val="Default"/>
              <w:rPr>
                <w:rFonts w:ascii="Gotham Book" w:hAnsi="Gotham Book" w:cstheme="minorHAnsi"/>
                <w:sz w:val="22"/>
                <w:szCs w:val="22"/>
              </w:rPr>
            </w:pPr>
            <w:r w:rsidRPr="00646746">
              <w:rPr>
                <w:rFonts w:ascii="Gotham Book" w:hAnsi="Gotham Book" w:cstheme="minorHAnsi"/>
                <w:sz w:val="22"/>
                <w:szCs w:val="22"/>
              </w:rPr>
              <w:t>Studies measuring differences in critical resource use. Ideally, randomised trials, reporting in natural units (e.g. days in hospital)</w:t>
            </w:r>
            <w:r w:rsidR="001E6BD4" w:rsidRPr="001E6BD4">
              <w:rPr>
                <w:rFonts w:ascii="Gotham Book" w:hAnsi="Gotham Book" w:cstheme="minorHAnsi"/>
                <w:sz w:val="22"/>
                <w:szCs w:val="22"/>
                <w:vertAlign w:val="superscript"/>
              </w:rPr>
              <w:t>20</w:t>
            </w:r>
            <w:r w:rsidR="00833FC7">
              <w:rPr>
                <w:rFonts w:ascii="Gotham Book" w:hAnsi="Gotham Book" w:cstheme="minorHAnsi"/>
                <w:sz w:val="22"/>
                <w:szCs w:val="22"/>
              </w:rPr>
              <w:t>.</w:t>
            </w:r>
          </w:p>
          <w:p w14:paraId="12746339" w14:textId="77777777" w:rsidR="001E330E" w:rsidRPr="0079145A" w:rsidRDefault="001E330E" w:rsidP="007F73D4">
            <w:pPr>
              <w:pStyle w:val="Default"/>
              <w:rPr>
                <w:rFonts w:ascii="Gotham Book" w:hAnsi="Gotham Book" w:cstheme="minorHAnsi"/>
                <w:sz w:val="22"/>
                <w:szCs w:val="22"/>
              </w:rPr>
            </w:pPr>
          </w:p>
        </w:tc>
      </w:tr>
      <w:tr w:rsidR="001E330E" w:rsidRPr="00C66AFF" w14:paraId="54D615F8" w14:textId="77777777" w:rsidTr="0036465F">
        <w:tc>
          <w:tcPr>
            <w:tcW w:w="3005" w:type="dxa"/>
            <w:shd w:val="clear" w:color="auto" w:fill="FFFFFF" w:themeFill="background1"/>
          </w:tcPr>
          <w:p w14:paraId="397F4059" w14:textId="10DB424A" w:rsidR="001E330E" w:rsidRPr="00646746" w:rsidRDefault="001E330E" w:rsidP="0036465F">
            <w:pPr>
              <w:pStyle w:val="Default"/>
              <w:rPr>
                <w:rFonts w:ascii="Gotham Book" w:hAnsi="Gotham Book" w:cstheme="minorHAnsi"/>
                <w:sz w:val="22"/>
                <w:szCs w:val="22"/>
              </w:rPr>
            </w:pPr>
            <w:r w:rsidRPr="00646746">
              <w:rPr>
                <w:rFonts w:ascii="Gotham Book" w:hAnsi="Gotham Book" w:cstheme="minorHAnsi"/>
                <w:b/>
                <w:sz w:val="22"/>
                <w:szCs w:val="22"/>
              </w:rPr>
              <w:t xml:space="preserve">Certainty of evidence of required resources </w:t>
            </w:r>
          </w:p>
          <w:p w14:paraId="63B118A1" w14:textId="77777777" w:rsidR="001E330E" w:rsidRPr="00646746" w:rsidRDefault="001E330E" w:rsidP="007F73D4">
            <w:pPr>
              <w:pStyle w:val="Default"/>
              <w:rPr>
                <w:rFonts w:ascii="Gotham Book" w:hAnsi="Gotham Book" w:cstheme="minorHAnsi"/>
                <w:b/>
                <w:sz w:val="22"/>
                <w:szCs w:val="22"/>
              </w:rPr>
            </w:pPr>
          </w:p>
        </w:tc>
        <w:tc>
          <w:tcPr>
            <w:tcW w:w="3005" w:type="dxa"/>
            <w:shd w:val="clear" w:color="auto" w:fill="FFFFFF" w:themeFill="background1"/>
          </w:tcPr>
          <w:p w14:paraId="38D31441" w14:textId="77777777" w:rsidR="00DA4774" w:rsidRPr="00646746" w:rsidRDefault="00DA4774" w:rsidP="00DA4774">
            <w:pPr>
              <w:pStyle w:val="Default"/>
              <w:rPr>
                <w:rFonts w:ascii="Gotham Book" w:hAnsi="Gotham Book" w:cstheme="minorHAnsi"/>
                <w:sz w:val="22"/>
                <w:szCs w:val="22"/>
              </w:rPr>
            </w:pPr>
            <w:r w:rsidRPr="00646746">
              <w:rPr>
                <w:rFonts w:ascii="Gotham Book" w:hAnsi="Gotham Book" w:cstheme="minorHAnsi"/>
                <w:sz w:val="22"/>
                <w:szCs w:val="22"/>
              </w:rPr>
              <w:t xml:space="preserve">Overall judgement of certainty across resource use outcomes </w:t>
            </w:r>
          </w:p>
          <w:p w14:paraId="1C0AB866" w14:textId="77777777" w:rsidR="001E330E" w:rsidRPr="00646746" w:rsidRDefault="001E330E" w:rsidP="007F73D4">
            <w:pPr>
              <w:pStyle w:val="Default"/>
              <w:rPr>
                <w:rFonts w:ascii="Gotham Book" w:hAnsi="Gotham Book" w:cstheme="minorHAnsi"/>
                <w:sz w:val="22"/>
                <w:szCs w:val="22"/>
              </w:rPr>
            </w:pPr>
          </w:p>
        </w:tc>
        <w:tc>
          <w:tcPr>
            <w:tcW w:w="3006" w:type="dxa"/>
            <w:shd w:val="clear" w:color="auto" w:fill="FFFFFF" w:themeFill="background1"/>
          </w:tcPr>
          <w:p w14:paraId="6685EB14" w14:textId="77777777" w:rsidR="00DA4774" w:rsidRPr="00646746" w:rsidRDefault="00DA4774" w:rsidP="00DA4774">
            <w:pPr>
              <w:pStyle w:val="Default"/>
              <w:rPr>
                <w:rFonts w:ascii="Gotham Book" w:hAnsi="Gotham Book" w:cstheme="minorHAnsi"/>
                <w:sz w:val="22"/>
                <w:szCs w:val="22"/>
              </w:rPr>
            </w:pPr>
            <w:r w:rsidRPr="00646746">
              <w:rPr>
                <w:rFonts w:ascii="Gotham Book" w:hAnsi="Gotham Book" w:cstheme="minorHAnsi"/>
                <w:sz w:val="22"/>
                <w:szCs w:val="22"/>
              </w:rPr>
              <w:t xml:space="preserve">GRADE assessment of certainty of evidence for resources use outcomes (domains as per effects) </w:t>
            </w:r>
          </w:p>
          <w:p w14:paraId="6250E7B6" w14:textId="77777777" w:rsidR="001E330E" w:rsidRPr="00646746" w:rsidRDefault="001E330E" w:rsidP="007F73D4">
            <w:pPr>
              <w:pStyle w:val="Default"/>
              <w:rPr>
                <w:rFonts w:ascii="Gotham Book" w:hAnsi="Gotham Book" w:cstheme="minorHAnsi"/>
                <w:sz w:val="22"/>
                <w:szCs w:val="22"/>
              </w:rPr>
            </w:pPr>
          </w:p>
        </w:tc>
      </w:tr>
      <w:tr w:rsidR="001E330E" w:rsidRPr="00C66AFF" w14:paraId="20F77EF6" w14:textId="77777777" w:rsidTr="0079145A">
        <w:tc>
          <w:tcPr>
            <w:tcW w:w="3005" w:type="dxa"/>
            <w:shd w:val="clear" w:color="auto" w:fill="DAEEF3" w:themeFill="accent5" w:themeFillTint="33"/>
          </w:tcPr>
          <w:p w14:paraId="3B8D5BB6" w14:textId="77777777" w:rsidR="00DA4774" w:rsidRPr="00646746" w:rsidRDefault="00DA4774" w:rsidP="00DA4774">
            <w:pPr>
              <w:pStyle w:val="Default"/>
              <w:rPr>
                <w:rFonts w:ascii="Gotham Book" w:hAnsi="Gotham Book" w:cstheme="minorHAnsi"/>
                <w:sz w:val="22"/>
                <w:szCs w:val="22"/>
              </w:rPr>
            </w:pPr>
            <w:r w:rsidRPr="00646746">
              <w:rPr>
                <w:rFonts w:ascii="Gotham Book" w:hAnsi="Gotham Book" w:cstheme="minorHAnsi"/>
                <w:b/>
                <w:sz w:val="22"/>
                <w:szCs w:val="22"/>
              </w:rPr>
              <w:t xml:space="preserve">Equity </w:t>
            </w:r>
          </w:p>
          <w:p w14:paraId="3415B7AA" w14:textId="42CDABA9" w:rsidR="001E330E" w:rsidRPr="00646746" w:rsidRDefault="00DA4774" w:rsidP="00DA4774">
            <w:pPr>
              <w:pStyle w:val="Default"/>
              <w:rPr>
                <w:rFonts w:ascii="Gotham Book" w:hAnsi="Gotham Book" w:cstheme="minorHAnsi"/>
                <w:b/>
                <w:sz w:val="22"/>
                <w:szCs w:val="22"/>
              </w:rPr>
            </w:pPr>
            <w:r w:rsidRPr="00646746">
              <w:rPr>
                <w:rFonts w:ascii="Gotham Book" w:hAnsi="Gotham Book" w:cstheme="minorHAnsi"/>
                <w:sz w:val="22"/>
                <w:szCs w:val="22"/>
              </w:rPr>
              <w:t xml:space="preserve">What would be the impact on health equity? </w:t>
            </w:r>
          </w:p>
        </w:tc>
        <w:tc>
          <w:tcPr>
            <w:tcW w:w="3005" w:type="dxa"/>
            <w:shd w:val="clear" w:color="auto" w:fill="D9D9D9" w:themeFill="background1" w:themeFillShade="D9"/>
          </w:tcPr>
          <w:p w14:paraId="25307E63" w14:textId="77777777" w:rsidR="00DA4774" w:rsidRPr="00646746" w:rsidRDefault="00DA4774" w:rsidP="00DA4774">
            <w:pPr>
              <w:pStyle w:val="Default"/>
              <w:rPr>
                <w:rFonts w:ascii="Gotham Book" w:hAnsi="Gotham Book" w:cstheme="minorHAnsi"/>
                <w:sz w:val="22"/>
                <w:szCs w:val="22"/>
              </w:rPr>
            </w:pPr>
            <w:r w:rsidRPr="00646746">
              <w:rPr>
                <w:rFonts w:ascii="Gotham Book" w:hAnsi="Gotham Book" w:cstheme="minorHAnsi"/>
                <w:sz w:val="22"/>
                <w:szCs w:val="22"/>
              </w:rPr>
              <w:t xml:space="preserve">Judgement of whether recommending the intervention could increase (or decrease) inequities (differences in health that are avoidable and unfair) due to </w:t>
            </w:r>
            <w:r w:rsidRPr="00646746">
              <w:rPr>
                <w:rFonts w:ascii="Gotham Book" w:hAnsi="Gotham Book" w:cstheme="minorHAnsi"/>
                <w:sz w:val="22"/>
                <w:szCs w:val="22"/>
              </w:rPr>
              <w:lastRenderedPageBreak/>
              <w:t xml:space="preserve">differences in intervention effects, baseline risk of adverse outcomes (affecting absolute effectiveness), or priority of the problem among groups that experience inequity. For example, inequity may increase if some groups cannot access the recommended intervention or face barriers to access (such as transport and accommodation). </w:t>
            </w:r>
          </w:p>
          <w:p w14:paraId="4033D62A" w14:textId="77777777" w:rsidR="001E330E" w:rsidRPr="00646746" w:rsidRDefault="001E330E" w:rsidP="007F73D4">
            <w:pPr>
              <w:pStyle w:val="Default"/>
              <w:rPr>
                <w:rFonts w:ascii="Gotham Book" w:hAnsi="Gotham Book" w:cstheme="minorHAnsi"/>
                <w:sz w:val="22"/>
                <w:szCs w:val="22"/>
              </w:rPr>
            </w:pPr>
          </w:p>
        </w:tc>
        <w:tc>
          <w:tcPr>
            <w:tcW w:w="3006" w:type="dxa"/>
            <w:shd w:val="clear" w:color="auto" w:fill="D9D9D9" w:themeFill="background1" w:themeFillShade="D9"/>
          </w:tcPr>
          <w:p w14:paraId="0EAF4607" w14:textId="4E762369" w:rsidR="00DA4774" w:rsidRPr="00646746" w:rsidRDefault="00DA4774" w:rsidP="00DA4774">
            <w:pPr>
              <w:pStyle w:val="Default"/>
              <w:rPr>
                <w:rFonts w:ascii="Gotham Book" w:hAnsi="Gotham Book" w:cstheme="minorHAnsi"/>
                <w:sz w:val="22"/>
                <w:szCs w:val="22"/>
              </w:rPr>
            </w:pPr>
            <w:r w:rsidRPr="00646746">
              <w:rPr>
                <w:rFonts w:ascii="Gotham Book" w:hAnsi="Gotham Book" w:cstheme="minorHAnsi"/>
                <w:sz w:val="22"/>
                <w:szCs w:val="22"/>
              </w:rPr>
              <w:lastRenderedPageBreak/>
              <w:t xml:space="preserve">Equity-sensitive evidence: consider PROGRESS-plus elements and patient important outcomes relevant to equity (e.g. access) when </w:t>
            </w:r>
            <w:r w:rsidRPr="00646746">
              <w:rPr>
                <w:rFonts w:ascii="Gotham Book" w:hAnsi="Gotham Book" w:cstheme="minorHAnsi"/>
                <w:sz w:val="22"/>
                <w:szCs w:val="22"/>
              </w:rPr>
              <w:lastRenderedPageBreak/>
              <w:t>synthesising evidence</w:t>
            </w:r>
            <w:r w:rsidR="001E6BD4" w:rsidRPr="001E6BD4">
              <w:rPr>
                <w:rFonts w:ascii="Gotham Book" w:hAnsi="Gotham Book" w:cstheme="minorHAnsi"/>
                <w:sz w:val="22"/>
                <w:szCs w:val="22"/>
                <w:vertAlign w:val="superscript"/>
              </w:rPr>
              <w:t>21</w:t>
            </w:r>
            <w:r w:rsidRPr="00646746" w:rsidDel="003F440B">
              <w:rPr>
                <w:rFonts w:ascii="Gotham Book" w:hAnsi="Gotham Book" w:cstheme="minorHAnsi"/>
                <w:sz w:val="22"/>
                <w:szCs w:val="22"/>
              </w:rPr>
              <w:t>;</w:t>
            </w:r>
            <w:r w:rsidRPr="00646746">
              <w:rPr>
                <w:rFonts w:ascii="Gotham Book" w:hAnsi="Gotham Book" w:cstheme="minorHAnsi"/>
                <w:sz w:val="22"/>
                <w:szCs w:val="22"/>
              </w:rPr>
              <w:t xml:space="preserve"> data on baseline risk for groups experiencing inequities</w:t>
            </w:r>
            <w:r w:rsidR="001E6BD4" w:rsidRPr="001E6BD4">
              <w:rPr>
                <w:rFonts w:ascii="Gotham Book" w:hAnsi="Gotham Book" w:cstheme="minorHAnsi"/>
                <w:sz w:val="22"/>
                <w:szCs w:val="22"/>
                <w:vertAlign w:val="superscript"/>
              </w:rPr>
              <w:t>22</w:t>
            </w:r>
            <w:r w:rsidR="001E6BD4">
              <w:rPr>
                <w:rFonts w:ascii="Gotham Book" w:hAnsi="Gotham Book" w:cstheme="minorHAnsi"/>
                <w:sz w:val="22"/>
                <w:szCs w:val="22"/>
              </w:rPr>
              <w:t>;</w:t>
            </w:r>
            <w:r w:rsidRPr="00646746">
              <w:rPr>
                <w:rFonts w:ascii="Gotham Book" w:hAnsi="Gotham Book" w:cstheme="minorHAnsi"/>
                <w:sz w:val="22"/>
                <w:szCs w:val="22"/>
              </w:rPr>
              <w:t xml:space="preserve"> qualitative or mixed-methods evidence synthesis (or studies) for other </w:t>
            </w:r>
            <w:proofErr w:type="spellStart"/>
            <w:r w:rsidRPr="00646746">
              <w:rPr>
                <w:rFonts w:ascii="Gotham Book" w:hAnsi="Gotham Book" w:cstheme="minorHAnsi"/>
                <w:sz w:val="22"/>
                <w:szCs w:val="22"/>
              </w:rPr>
              <w:t>EtD</w:t>
            </w:r>
            <w:proofErr w:type="spellEnd"/>
            <w:r w:rsidRPr="00646746">
              <w:rPr>
                <w:rFonts w:ascii="Gotham Book" w:hAnsi="Gotham Book" w:cstheme="minorHAnsi"/>
                <w:sz w:val="22"/>
                <w:szCs w:val="22"/>
              </w:rPr>
              <w:t xml:space="preserve"> factors</w:t>
            </w:r>
            <w:r w:rsidR="001E6BD4" w:rsidRPr="001E6BD4">
              <w:rPr>
                <w:rFonts w:ascii="Gotham Book" w:hAnsi="Gotham Book" w:cstheme="minorHAnsi"/>
                <w:sz w:val="22"/>
                <w:szCs w:val="22"/>
                <w:vertAlign w:val="superscript"/>
              </w:rPr>
              <w:t>23</w:t>
            </w:r>
            <w:r w:rsidR="00833FC7">
              <w:rPr>
                <w:rFonts w:ascii="Gotham Book" w:hAnsi="Gotham Book" w:cstheme="minorHAnsi"/>
                <w:sz w:val="22"/>
                <w:szCs w:val="22"/>
              </w:rPr>
              <w:t>.</w:t>
            </w:r>
          </w:p>
          <w:p w14:paraId="1FABE832" w14:textId="77777777" w:rsidR="001E330E" w:rsidRPr="00646746" w:rsidRDefault="001E330E" w:rsidP="007F73D4">
            <w:pPr>
              <w:pStyle w:val="Default"/>
              <w:rPr>
                <w:rFonts w:ascii="Gotham Book" w:hAnsi="Gotham Book" w:cstheme="minorHAnsi"/>
                <w:sz w:val="22"/>
                <w:szCs w:val="22"/>
              </w:rPr>
            </w:pPr>
          </w:p>
        </w:tc>
      </w:tr>
      <w:tr w:rsidR="00DA4774" w:rsidRPr="00C66AFF" w14:paraId="70812570" w14:textId="77777777" w:rsidTr="0079145A">
        <w:tc>
          <w:tcPr>
            <w:tcW w:w="3005" w:type="dxa"/>
            <w:shd w:val="clear" w:color="auto" w:fill="DAEEF3" w:themeFill="accent5" w:themeFillTint="33"/>
          </w:tcPr>
          <w:p w14:paraId="65CA75D6" w14:textId="77777777" w:rsidR="00D57A15" w:rsidRPr="00646746" w:rsidRDefault="00D57A15" w:rsidP="00D57A15">
            <w:pPr>
              <w:pStyle w:val="Default"/>
              <w:rPr>
                <w:rFonts w:ascii="Gotham Book" w:hAnsi="Gotham Book" w:cstheme="minorHAnsi"/>
                <w:sz w:val="22"/>
                <w:szCs w:val="22"/>
              </w:rPr>
            </w:pPr>
            <w:r w:rsidRPr="00646746">
              <w:rPr>
                <w:rFonts w:ascii="Gotham Book" w:hAnsi="Gotham Book" w:cstheme="minorHAnsi"/>
                <w:b/>
                <w:sz w:val="22"/>
                <w:szCs w:val="22"/>
              </w:rPr>
              <w:lastRenderedPageBreak/>
              <w:t xml:space="preserve">Acceptability </w:t>
            </w:r>
          </w:p>
          <w:p w14:paraId="01F67D09" w14:textId="06411473" w:rsidR="00DA4774" w:rsidRPr="00646746" w:rsidRDefault="00D57A15" w:rsidP="00D57A15">
            <w:pPr>
              <w:pStyle w:val="Default"/>
              <w:rPr>
                <w:rFonts w:ascii="Gotham Book" w:hAnsi="Gotham Book" w:cstheme="minorHAnsi"/>
                <w:b/>
                <w:sz w:val="22"/>
                <w:szCs w:val="22"/>
              </w:rPr>
            </w:pPr>
            <w:r w:rsidRPr="00646746">
              <w:rPr>
                <w:rFonts w:ascii="Gotham Book" w:hAnsi="Gotham Book" w:cstheme="minorHAnsi"/>
                <w:sz w:val="22"/>
                <w:szCs w:val="22"/>
              </w:rPr>
              <w:t xml:space="preserve">Is the intervention acceptable to key stakeholders? </w:t>
            </w:r>
          </w:p>
        </w:tc>
        <w:tc>
          <w:tcPr>
            <w:tcW w:w="3005" w:type="dxa"/>
            <w:shd w:val="clear" w:color="auto" w:fill="D9D9D9" w:themeFill="background1" w:themeFillShade="D9"/>
          </w:tcPr>
          <w:p w14:paraId="7256169A" w14:textId="77777777" w:rsidR="00D57A15" w:rsidRPr="00646746" w:rsidRDefault="00D57A15" w:rsidP="00D57A15">
            <w:pPr>
              <w:pStyle w:val="Default"/>
              <w:rPr>
                <w:rFonts w:ascii="Gotham Book" w:hAnsi="Gotham Book" w:cstheme="minorHAnsi"/>
                <w:sz w:val="22"/>
                <w:szCs w:val="22"/>
              </w:rPr>
            </w:pPr>
            <w:r w:rsidRPr="00646746">
              <w:rPr>
                <w:rFonts w:ascii="Gotham Book" w:hAnsi="Gotham Book" w:cstheme="minorHAnsi"/>
                <w:sz w:val="22"/>
                <w:szCs w:val="22"/>
              </w:rPr>
              <w:t xml:space="preserve">Judgement of acceptability to patients, caregivers, healthcare providers, policy makers (as relevant to the decision). Considering who benefits (or is harmed) and who pays (or saves), are there stakeholders that would not accept the distribution of benefits, harms and costs (e.g. for a therapy under private health insurance; costs or </w:t>
            </w:r>
          </w:p>
          <w:p w14:paraId="45207AF6" w14:textId="77777777" w:rsidR="00D57A15" w:rsidRPr="00646746" w:rsidRDefault="00D57A15" w:rsidP="00D57A15">
            <w:pPr>
              <w:pStyle w:val="Default"/>
              <w:rPr>
                <w:rFonts w:ascii="Gotham Book" w:hAnsi="Gotham Book" w:cstheme="minorHAnsi"/>
                <w:sz w:val="22"/>
                <w:szCs w:val="22"/>
              </w:rPr>
            </w:pPr>
            <w:r w:rsidRPr="00646746">
              <w:rPr>
                <w:rFonts w:ascii="Gotham Book" w:hAnsi="Gotham Book" w:cstheme="minorHAnsi"/>
                <w:sz w:val="22"/>
                <w:szCs w:val="22"/>
              </w:rPr>
              <w:t xml:space="preserve">harms in the short term for future benefit). Could the intervention adversely affect people’s autonomy. Is the intervention culturally acceptable? Are there moral objections (e.g. in relation to ethical principles)? </w:t>
            </w:r>
          </w:p>
          <w:p w14:paraId="7750C1FF" w14:textId="02578355" w:rsidR="00D57A15" w:rsidRPr="00646746" w:rsidRDefault="00D57A15" w:rsidP="00D57A15">
            <w:pPr>
              <w:pStyle w:val="Default"/>
              <w:rPr>
                <w:rFonts w:ascii="Gotham Book" w:hAnsi="Gotham Book" w:cstheme="minorHAnsi"/>
                <w:sz w:val="22"/>
                <w:szCs w:val="22"/>
              </w:rPr>
            </w:pPr>
          </w:p>
          <w:p w14:paraId="682780FB" w14:textId="77777777" w:rsidR="00DA4774" w:rsidRPr="00646746" w:rsidRDefault="00DA4774" w:rsidP="00DA4774">
            <w:pPr>
              <w:pStyle w:val="Default"/>
              <w:rPr>
                <w:rFonts w:ascii="Gotham Book" w:hAnsi="Gotham Book" w:cstheme="minorHAnsi"/>
                <w:sz w:val="22"/>
                <w:szCs w:val="22"/>
              </w:rPr>
            </w:pPr>
          </w:p>
        </w:tc>
        <w:tc>
          <w:tcPr>
            <w:tcW w:w="3006" w:type="dxa"/>
            <w:shd w:val="clear" w:color="auto" w:fill="D9D9D9" w:themeFill="background1" w:themeFillShade="D9"/>
          </w:tcPr>
          <w:p w14:paraId="06A35F42" w14:textId="1998A64A" w:rsidR="0052225A" w:rsidRPr="00646746" w:rsidRDefault="0052225A" w:rsidP="0052225A">
            <w:pPr>
              <w:pStyle w:val="Default"/>
              <w:rPr>
                <w:rFonts w:ascii="Gotham Book" w:hAnsi="Gotham Book" w:cstheme="minorHAnsi"/>
                <w:sz w:val="22"/>
                <w:szCs w:val="22"/>
              </w:rPr>
            </w:pPr>
            <w:r w:rsidRPr="00646746">
              <w:rPr>
                <w:rFonts w:ascii="Gotham Book" w:hAnsi="Gotham Book" w:cstheme="minorHAnsi"/>
                <w:sz w:val="22"/>
                <w:szCs w:val="22"/>
              </w:rPr>
              <w:t>Outcomes related to acceptability (e.g. program completion, withdrawals due to inefficacy or undesirable effects); qualitative or mixed-methods evidence synthesis (or studies)</w:t>
            </w:r>
            <w:r w:rsidR="00BB20FF" w:rsidRPr="00BB20FF">
              <w:rPr>
                <w:rFonts w:ascii="Gotham Book" w:hAnsi="Gotham Book" w:cstheme="minorHAnsi"/>
                <w:sz w:val="22"/>
                <w:szCs w:val="22"/>
                <w:vertAlign w:val="superscript"/>
              </w:rPr>
              <w:t>23,24</w:t>
            </w:r>
            <w:r w:rsidRPr="00646746">
              <w:rPr>
                <w:rFonts w:ascii="Gotham Book" w:hAnsi="Gotham Book" w:cstheme="minorHAnsi"/>
                <w:sz w:val="22"/>
                <w:szCs w:val="22"/>
              </w:rPr>
              <w:t xml:space="preserve"> </w:t>
            </w:r>
          </w:p>
          <w:p w14:paraId="7B6B4D50" w14:textId="77777777" w:rsidR="0052225A" w:rsidRPr="00646746" w:rsidRDefault="0052225A" w:rsidP="0052225A">
            <w:pPr>
              <w:pStyle w:val="Default"/>
              <w:rPr>
                <w:rFonts w:ascii="Gotham Book" w:hAnsi="Gotham Book" w:cstheme="minorHAnsi"/>
                <w:sz w:val="22"/>
                <w:szCs w:val="22"/>
              </w:rPr>
            </w:pPr>
          </w:p>
          <w:p w14:paraId="2B25B66B" w14:textId="088DCD3D" w:rsidR="0052225A" w:rsidRPr="00646746" w:rsidRDefault="0052225A" w:rsidP="0052225A">
            <w:pPr>
              <w:pStyle w:val="Default"/>
              <w:rPr>
                <w:rFonts w:ascii="Gotham Book" w:hAnsi="Gotham Book" w:cstheme="minorHAnsi"/>
                <w:sz w:val="22"/>
                <w:szCs w:val="22"/>
              </w:rPr>
            </w:pPr>
            <w:r w:rsidRPr="00646746">
              <w:rPr>
                <w:rFonts w:ascii="Gotham Book" w:hAnsi="Gotham Book" w:cstheme="minorHAnsi"/>
                <w:sz w:val="22"/>
                <w:szCs w:val="22"/>
              </w:rPr>
              <w:t>Surveys, interviews or other consultation undertaken by the GDG as part of engagement with interest holders including people with lived experience, health service providers, policy makers</w:t>
            </w:r>
            <w:r w:rsidR="00C717E4">
              <w:rPr>
                <w:rFonts w:ascii="Gotham Book" w:hAnsi="Gotham Book" w:cstheme="minorHAnsi"/>
                <w:sz w:val="22"/>
                <w:szCs w:val="22"/>
              </w:rPr>
              <w:t>.</w:t>
            </w:r>
          </w:p>
          <w:p w14:paraId="66DC245D" w14:textId="7E30D4AE" w:rsidR="0052225A" w:rsidRPr="00646746" w:rsidRDefault="0052225A" w:rsidP="0052225A">
            <w:pPr>
              <w:pStyle w:val="Default"/>
              <w:rPr>
                <w:rFonts w:ascii="Gotham Book" w:hAnsi="Gotham Book" w:cstheme="minorHAnsi"/>
                <w:sz w:val="22"/>
                <w:szCs w:val="22"/>
              </w:rPr>
            </w:pPr>
          </w:p>
          <w:p w14:paraId="3B35FC00" w14:textId="77777777" w:rsidR="0052225A" w:rsidRPr="00646746" w:rsidRDefault="0052225A" w:rsidP="0052225A">
            <w:pPr>
              <w:pStyle w:val="Default"/>
              <w:rPr>
                <w:rFonts w:ascii="Gotham Book" w:hAnsi="Gotham Book" w:cstheme="minorHAnsi"/>
                <w:sz w:val="22"/>
                <w:szCs w:val="22"/>
              </w:rPr>
            </w:pPr>
          </w:p>
          <w:p w14:paraId="4E8C1EA9" w14:textId="77777777" w:rsidR="00DA4774" w:rsidRPr="00646746" w:rsidRDefault="00DA4774" w:rsidP="00DA4774">
            <w:pPr>
              <w:pStyle w:val="Default"/>
              <w:rPr>
                <w:rFonts w:ascii="Gotham Book" w:hAnsi="Gotham Book" w:cstheme="minorHAnsi"/>
                <w:sz w:val="22"/>
                <w:szCs w:val="22"/>
              </w:rPr>
            </w:pPr>
          </w:p>
        </w:tc>
      </w:tr>
      <w:tr w:rsidR="00DA4774" w:rsidRPr="00C66AFF" w14:paraId="46E4FF3D" w14:textId="77777777" w:rsidTr="00764FE6">
        <w:tc>
          <w:tcPr>
            <w:tcW w:w="3005" w:type="dxa"/>
            <w:shd w:val="clear" w:color="auto" w:fill="DAEEF3" w:themeFill="accent5" w:themeFillTint="33"/>
          </w:tcPr>
          <w:p w14:paraId="2491C052" w14:textId="77777777" w:rsidR="00A420E7" w:rsidRPr="00646746" w:rsidRDefault="00A420E7" w:rsidP="00A420E7">
            <w:pPr>
              <w:pStyle w:val="Default"/>
              <w:rPr>
                <w:rFonts w:ascii="Gotham Book" w:hAnsi="Gotham Book" w:cstheme="minorHAnsi"/>
                <w:sz w:val="22"/>
                <w:szCs w:val="22"/>
              </w:rPr>
            </w:pPr>
            <w:r w:rsidRPr="00646746">
              <w:rPr>
                <w:rFonts w:ascii="Gotham Book" w:hAnsi="Gotham Book" w:cstheme="minorHAnsi"/>
                <w:b/>
                <w:sz w:val="22"/>
                <w:szCs w:val="22"/>
              </w:rPr>
              <w:t xml:space="preserve">Feasibility </w:t>
            </w:r>
          </w:p>
          <w:p w14:paraId="2586370B" w14:textId="660FEE63" w:rsidR="00DA4774" w:rsidRPr="00646746" w:rsidRDefault="00A420E7" w:rsidP="00A420E7">
            <w:pPr>
              <w:pStyle w:val="Default"/>
              <w:rPr>
                <w:rFonts w:ascii="Gotham Book" w:hAnsi="Gotham Book" w:cstheme="minorHAnsi"/>
                <w:b/>
                <w:sz w:val="22"/>
                <w:szCs w:val="22"/>
              </w:rPr>
            </w:pPr>
            <w:r w:rsidRPr="00646746">
              <w:rPr>
                <w:rFonts w:ascii="Gotham Book" w:hAnsi="Gotham Book" w:cstheme="minorHAnsi"/>
                <w:sz w:val="22"/>
                <w:szCs w:val="22"/>
              </w:rPr>
              <w:lastRenderedPageBreak/>
              <w:t xml:space="preserve">Is the intervention feasible to implement? </w:t>
            </w:r>
          </w:p>
        </w:tc>
        <w:tc>
          <w:tcPr>
            <w:tcW w:w="3005" w:type="dxa"/>
            <w:shd w:val="clear" w:color="auto" w:fill="auto"/>
          </w:tcPr>
          <w:p w14:paraId="49BF0C21" w14:textId="77777777" w:rsidR="009330B0" w:rsidRPr="00646746" w:rsidRDefault="009330B0" w:rsidP="009330B0">
            <w:pPr>
              <w:pStyle w:val="Default"/>
              <w:rPr>
                <w:rFonts w:ascii="Gotham Book" w:hAnsi="Gotham Book" w:cstheme="minorHAnsi"/>
                <w:sz w:val="22"/>
                <w:szCs w:val="22"/>
              </w:rPr>
            </w:pPr>
            <w:r w:rsidRPr="00646746">
              <w:rPr>
                <w:rFonts w:ascii="Gotham Book" w:hAnsi="Gotham Book" w:cstheme="minorHAnsi"/>
                <w:sz w:val="22"/>
                <w:szCs w:val="22"/>
              </w:rPr>
              <w:lastRenderedPageBreak/>
              <w:t xml:space="preserve">Judgement of whether the intervention is </w:t>
            </w:r>
            <w:r w:rsidRPr="00646746">
              <w:rPr>
                <w:rFonts w:ascii="Gotham Book" w:hAnsi="Gotham Book" w:cstheme="minorHAnsi"/>
                <w:sz w:val="22"/>
                <w:szCs w:val="22"/>
              </w:rPr>
              <w:lastRenderedPageBreak/>
              <w:t xml:space="preserve">feasible to implement for patients, caregivers, healthcare providers (and other as relevant). Includes sustainability, access, availability, implementation barriers, legal constraints, regulatory requirements, workforce availability and skills. </w:t>
            </w:r>
          </w:p>
          <w:p w14:paraId="28FA767E" w14:textId="77777777" w:rsidR="00DA4774" w:rsidRPr="00646746" w:rsidRDefault="00DA4774" w:rsidP="00DA4774">
            <w:pPr>
              <w:pStyle w:val="Default"/>
              <w:rPr>
                <w:rFonts w:ascii="Gotham Book" w:hAnsi="Gotham Book" w:cstheme="minorHAnsi"/>
                <w:sz w:val="22"/>
                <w:szCs w:val="22"/>
              </w:rPr>
            </w:pPr>
          </w:p>
        </w:tc>
        <w:tc>
          <w:tcPr>
            <w:tcW w:w="3006" w:type="dxa"/>
            <w:shd w:val="clear" w:color="auto" w:fill="auto"/>
          </w:tcPr>
          <w:p w14:paraId="5148DA98" w14:textId="0DEBFFFC" w:rsidR="009330B0" w:rsidRPr="00646746" w:rsidRDefault="009330B0" w:rsidP="009330B0">
            <w:pPr>
              <w:pStyle w:val="Default"/>
              <w:rPr>
                <w:rFonts w:ascii="Gotham Book" w:hAnsi="Gotham Book" w:cstheme="minorHAnsi"/>
                <w:sz w:val="22"/>
                <w:szCs w:val="22"/>
              </w:rPr>
            </w:pPr>
            <w:r w:rsidRPr="00646746">
              <w:rPr>
                <w:rFonts w:ascii="Gotham Book" w:hAnsi="Gotham Book" w:cstheme="minorHAnsi"/>
                <w:sz w:val="22"/>
                <w:szCs w:val="22"/>
              </w:rPr>
              <w:lastRenderedPageBreak/>
              <w:t xml:space="preserve">Qualitative, quantitative or mixed-methods </w:t>
            </w:r>
            <w:r w:rsidRPr="00646746">
              <w:rPr>
                <w:rFonts w:ascii="Gotham Book" w:hAnsi="Gotham Book" w:cstheme="minorHAnsi"/>
                <w:sz w:val="22"/>
                <w:szCs w:val="22"/>
              </w:rPr>
              <w:lastRenderedPageBreak/>
              <w:t>evidence synthesis (or studies) examining factors that may influence the feasibility of implementing the intervention</w:t>
            </w:r>
            <w:r w:rsidR="00BB20FF" w:rsidRPr="00833FC7">
              <w:rPr>
                <w:rFonts w:ascii="Gotham Book" w:hAnsi="Gotham Book" w:cstheme="minorHAnsi"/>
                <w:sz w:val="22"/>
                <w:szCs w:val="22"/>
                <w:vertAlign w:val="superscript"/>
              </w:rPr>
              <w:t>23,25</w:t>
            </w:r>
            <w:r w:rsidR="00833FC7">
              <w:rPr>
                <w:rFonts w:ascii="Gotham Book" w:hAnsi="Gotham Book" w:cstheme="minorHAnsi"/>
                <w:sz w:val="22"/>
                <w:szCs w:val="22"/>
              </w:rPr>
              <w:t>.</w:t>
            </w:r>
            <w:r w:rsidRPr="00646746">
              <w:rPr>
                <w:rFonts w:ascii="Gotham Book" w:hAnsi="Gotham Book" w:cstheme="minorHAnsi"/>
                <w:sz w:val="22"/>
                <w:szCs w:val="22"/>
              </w:rPr>
              <w:t xml:space="preserve"> </w:t>
            </w:r>
          </w:p>
          <w:p w14:paraId="2BA07CEB" w14:textId="7778AB6C" w:rsidR="00DA4774" w:rsidRPr="00646746" w:rsidRDefault="009330B0" w:rsidP="009330B0">
            <w:pPr>
              <w:pStyle w:val="Default"/>
              <w:rPr>
                <w:rFonts w:ascii="Gotham Book" w:hAnsi="Gotham Book" w:cstheme="minorHAnsi"/>
                <w:sz w:val="22"/>
                <w:szCs w:val="22"/>
              </w:rPr>
            </w:pPr>
            <w:r w:rsidRPr="00646746">
              <w:rPr>
                <w:rFonts w:ascii="Gotham Book" w:hAnsi="Gotham Book" w:cstheme="minorHAnsi"/>
                <w:sz w:val="22"/>
                <w:szCs w:val="22"/>
              </w:rPr>
              <w:t>Surveys, interviews or other consultation undertaken by the GDG as part of engagement with interest holders including people with lived experience, health service providers, policy makers</w:t>
            </w:r>
            <w:r w:rsidR="009F1702">
              <w:rPr>
                <w:rFonts w:ascii="Gotham Book" w:hAnsi="Gotham Book" w:cstheme="minorHAnsi"/>
                <w:sz w:val="22"/>
                <w:szCs w:val="22"/>
              </w:rPr>
              <w:t>.</w:t>
            </w:r>
          </w:p>
        </w:tc>
      </w:tr>
    </w:tbl>
    <w:p w14:paraId="42633237" w14:textId="77777777" w:rsidR="00F0253F" w:rsidRPr="00C66AFF" w:rsidRDefault="00F0253F" w:rsidP="00F0253F">
      <w:pPr>
        <w:spacing w:after="160" w:line="259" w:lineRule="auto"/>
        <w:rPr>
          <w:rFonts w:ascii="Gotham Book" w:hAnsi="Gotham Book"/>
          <w:sz w:val="20"/>
          <w:szCs w:val="20"/>
        </w:rPr>
      </w:pPr>
    </w:p>
    <w:p w14:paraId="3E0FF709" w14:textId="1D83CBFD" w:rsidR="009006EA" w:rsidRPr="00006525" w:rsidRDefault="002A7081" w:rsidP="009006EA">
      <w:pPr>
        <w:pStyle w:val="Heading4"/>
      </w:pPr>
      <w:r w:rsidRPr="00006525">
        <w:t>Decide on what evidence will be sought to inform judgements for each criterion</w:t>
      </w:r>
    </w:p>
    <w:p w14:paraId="000029B9" w14:textId="5E5EE04F" w:rsidR="009006EA" w:rsidRPr="00646746" w:rsidRDefault="002A7081" w:rsidP="00F0253F">
      <w:pPr>
        <w:spacing w:after="160" w:line="259" w:lineRule="auto"/>
        <w:rPr>
          <w:rFonts w:ascii="Gotham Book" w:hAnsi="Gotham Book" w:cstheme="minorHAnsi"/>
        </w:rPr>
      </w:pPr>
      <w:r w:rsidRPr="00646746">
        <w:rPr>
          <w:rFonts w:ascii="Gotham Book" w:hAnsi="Gotham Book" w:cstheme="minorHAnsi"/>
        </w:rPr>
        <w:t>NHMRC Standard 6 requires guidelines to be evidence informed. For questions about the desirable and undesirable effects of an intervention on health outcomes (benefit and harms), it is best practice to use well-conducted systematic reviews as the source of evidence. Similar expectations apply to questions about prognosis and the accuracy of diagnostic, screening and other tests. Systematic reviews can also be used to inform judgements for most other criteria, however the extent to which this is done varies. In many guidelines, developers take a pragmatic approach</w:t>
      </w:r>
      <w:r w:rsidR="00CA72EE">
        <w:rPr>
          <w:rFonts w:ascii="Gotham Book" w:hAnsi="Gotham Book" w:cstheme="minorHAnsi"/>
        </w:rPr>
        <w:t xml:space="preserve"> such as</w:t>
      </w:r>
      <w:r w:rsidRPr="00646746">
        <w:rPr>
          <w:rFonts w:ascii="Gotham Book" w:hAnsi="Gotham Book" w:cstheme="minorHAnsi"/>
        </w:rPr>
        <w:t xml:space="preserve"> using a systematic review or study identified through an ad hoc process. Other sources of evidence are listed in </w:t>
      </w:r>
      <w:r w:rsidRPr="009A78D4">
        <w:rPr>
          <w:rFonts w:ascii="Gotham Book" w:hAnsi="Gotham Book" w:cstheme="minorHAnsi"/>
          <w:u w:val="single"/>
        </w:rPr>
        <w:t>Table 1</w:t>
      </w:r>
      <w:r w:rsidRPr="00646746">
        <w:rPr>
          <w:rFonts w:ascii="Gotham Book" w:hAnsi="Gotham Book" w:cstheme="minorHAnsi"/>
        </w:rPr>
        <w:t xml:space="preserve">. Those adopting or adapting existing recommendations may use evidence presented in the </w:t>
      </w:r>
      <w:proofErr w:type="spellStart"/>
      <w:r w:rsidRPr="00646746">
        <w:rPr>
          <w:rFonts w:ascii="Gotham Book" w:hAnsi="Gotham Book" w:cstheme="minorHAnsi"/>
        </w:rPr>
        <w:t>EtD</w:t>
      </w:r>
      <w:proofErr w:type="spellEnd"/>
      <w:r w:rsidRPr="00646746">
        <w:rPr>
          <w:rFonts w:ascii="Gotham Book" w:hAnsi="Gotham Book" w:cstheme="minorHAnsi"/>
        </w:rPr>
        <w:t xml:space="preserve"> from the source guideline(s), alongside contextual evidence from local studies or solicited from the GDG</w:t>
      </w:r>
      <w:r w:rsidR="00833FC7" w:rsidRPr="007C1C55">
        <w:rPr>
          <w:rFonts w:ascii="Gotham Book" w:hAnsi="Gotham Book" w:cstheme="minorHAnsi"/>
          <w:vertAlign w:val="superscript"/>
        </w:rPr>
        <w:t>13</w:t>
      </w:r>
      <w:r w:rsidR="007C1C55">
        <w:rPr>
          <w:rFonts w:ascii="Gotham Book" w:hAnsi="Gotham Book" w:cstheme="minorHAnsi"/>
        </w:rPr>
        <w:t>.</w:t>
      </w:r>
    </w:p>
    <w:p w14:paraId="31898BF2" w14:textId="076818E9" w:rsidR="002A7081" w:rsidRPr="00646746" w:rsidRDefault="002A7081" w:rsidP="00F0253F">
      <w:pPr>
        <w:spacing w:after="160" w:line="259" w:lineRule="auto"/>
        <w:rPr>
          <w:rFonts w:ascii="Gotham Book" w:hAnsi="Gotham Book" w:cstheme="minorHAnsi"/>
        </w:rPr>
      </w:pPr>
      <w:r w:rsidRPr="00646746">
        <w:rPr>
          <w:rFonts w:ascii="Gotham Book" w:hAnsi="Gotham Book" w:cstheme="minorHAnsi"/>
        </w:rPr>
        <w:t xml:space="preserve">Equity-related evidence is a special case. Equity can be addressed systematically for each </w:t>
      </w:r>
      <w:proofErr w:type="spellStart"/>
      <w:r w:rsidRPr="00646746">
        <w:rPr>
          <w:rFonts w:ascii="Gotham Book" w:hAnsi="Gotham Book" w:cstheme="minorHAnsi"/>
        </w:rPr>
        <w:t>EtD</w:t>
      </w:r>
      <w:proofErr w:type="spellEnd"/>
      <w:r w:rsidRPr="00646746">
        <w:rPr>
          <w:rFonts w:ascii="Gotham Book" w:hAnsi="Gotham Book" w:cstheme="minorHAnsi"/>
        </w:rPr>
        <w:t xml:space="preserve"> criterion (</w:t>
      </w:r>
      <w:r w:rsidRPr="009A78D4">
        <w:rPr>
          <w:rFonts w:ascii="Gotham Book" w:hAnsi="Gotham Book" w:cstheme="minorHAnsi"/>
          <w:u w:val="single"/>
        </w:rPr>
        <w:t xml:space="preserve">Box </w:t>
      </w:r>
      <w:r w:rsidR="002C7FED" w:rsidRPr="009A78D4">
        <w:rPr>
          <w:rFonts w:ascii="Gotham Book" w:hAnsi="Gotham Book" w:cstheme="minorHAnsi"/>
          <w:u w:val="single"/>
        </w:rPr>
        <w:t>1</w:t>
      </w:r>
      <w:r w:rsidRPr="00646746">
        <w:rPr>
          <w:rFonts w:ascii="Gotham Book" w:hAnsi="Gotham Book" w:cstheme="minorHAnsi"/>
        </w:rPr>
        <w:t>)</w:t>
      </w:r>
      <w:r w:rsidR="007C1C55" w:rsidRPr="007C1C55">
        <w:rPr>
          <w:rFonts w:ascii="Gotham Book" w:hAnsi="Gotham Book" w:cstheme="minorHAnsi"/>
          <w:vertAlign w:val="superscript"/>
        </w:rPr>
        <w:t>26,27</w:t>
      </w:r>
      <w:r w:rsidR="007C1C55">
        <w:rPr>
          <w:rFonts w:ascii="Gotham Book" w:hAnsi="Gotham Book" w:cstheme="minorHAnsi"/>
        </w:rPr>
        <w:t xml:space="preserve">. </w:t>
      </w:r>
      <w:r w:rsidRPr="00646746">
        <w:rPr>
          <w:rFonts w:ascii="Gotham Book" w:hAnsi="Gotham Book" w:cstheme="minorHAnsi"/>
        </w:rPr>
        <w:t>Doing so may enable better integration of equity considerations in deliberations</w:t>
      </w:r>
      <w:r w:rsidR="007C1C55" w:rsidRPr="007C1C55">
        <w:rPr>
          <w:rFonts w:ascii="Gotham Book" w:hAnsi="Gotham Book" w:cstheme="minorHAnsi"/>
          <w:vertAlign w:val="superscript"/>
        </w:rPr>
        <w:t>28</w:t>
      </w:r>
      <w:r w:rsidRPr="00646746">
        <w:rPr>
          <w:rFonts w:ascii="Gotham Book" w:hAnsi="Gotham Book" w:cstheme="minorHAnsi"/>
        </w:rPr>
        <w:t>.</w:t>
      </w:r>
    </w:p>
    <w:p w14:paraId="661418E8" w14:textId="77777777" w:rsidR="002A7081" w:rsidRPr="00C66AFF" w:rsidRDefault="002A7081" w:rsidP="00F0253F">
      <w:pPr>
        <w:spacing w:after="160" w:line="259" w:lineRule="auto"/>
        <w:rPr>
          <w:rFonts w:ascii="Gotham Book" w:hAnsi="Gotham Book"/>
          <w:sz w:val="20"/>
          <w:szCs w:val="20"/>
        </w:rPr>
      </w:pPr>
    </w:p>
    <w:p w14:paraId="71DA8337" w14:textId="64B70983" w:rsidR="002A7081" w:rsidRPr="00646746" w:rsidRDefault="002A7081" w:rsidP="00F0253F">
      <w:pPr>
        <w:spacing w:after="160" w:line="259" w:lineRule="auto"/>
        <w:rPr>
          <w:rFonts w:ascii="Gotham Book" w:hAnsi="Gotham Book" w:cstheme="minorHAnsi"/>
          <w:b/>
        </w:rPr>
      </w:pPr>
      <w:r w:rsidRPr="00646746">
        <w:rPr>
          <w:rFonts w:ascii="Gotham Book" w:hAnsi="Gotham Book" w:cstheme="minorHAnsi"/>
          <w:b/>
        </w:rPr>
        <w:t xml:space="preserve">Box </w:t>
      </w:r>
      <w:r w:rsidR="002C7FED" w:rsidRPr="00646746">
        <w:rPr>
          <w:rFonts w:ascii="Gotham Book" w:hAnsi="Gotham Book" w:cstheme="minorHAnsi"/>
          <w:b/>
          <w:bCs/>
        </w:rPr>
        <w:t>1</w:t>
      </w:r>
      <w:r w:rsidRPr="00646746">
        <w:rPr>
          <w:rFonts w:ascii="Gotham Book" w:hAnsi="Gotham Book" w:cstheme="minorHAnsi"/>
          <w:b/>
        </w:rPr>
        <w:t xml:space="preserve">. </w:t>
      </w:r>
      <w:r w:rsidR="0095111E" w:rsidRPr="000E26A3">
        <w:rPr>
          <w:rFonts w:ascii="Gotham Book" w:hAnsi="Gotham Book" w:cstheme="minorHAnsi"/>
          <w:b/>
          <w:sz w:val="23"/>
          <w:szCs w:val="23"/>
        </w:rPr>
        <w:t>Examples</w:t>
      </w:r>
      <w:r w:rsidR="0095111E" w:rsidRPr="00646746">
        <w:rPr>
          <w:rFonts w:ascii="Gotham Book" w:hAnsi="Gotham Book" w:cstheme="minorHAnsi"/>
          <w:b/>
        </w:rPr>
        <w:t xml:space="preserve"> of equity-related evidence for each </w:t>
      </w:r>
      <w:proofErr w:type="spellStart"/>
      <w:r w:rsidR="0095111E" w:rsidRPr="00646746">
        <w:rPr>
          <w:rFonts w:ascii="Gotham Book" w:hAnsi="Gotham Book" w:cstheme="minorHAnsi"/>
          <w:b/>
        </w:rPr>
        <w:t>EtD</w:t>
      </w:r>
      <w:proofErr w:type="spellEnd"/>
      <w:r w:rsidR="0095111E" w:rsidRPr="00646746">
        <w:rPr>
          <w:rFonts w:ascii="Gotham Book" w:hAnsi="Gotham Book" w:cstheme="minorHAnsi"/>
          <w:b/>
        </w:rPr>
        <w:t xml:space="preserve"> criterion</w:t>
      </w:r>
    </w:p>
    <w:tbl>
      <w:tblPr>
        <w:tblStyle w:val="TableGrid"/>
        <w:tblW w:w="0" w:type="auto"/>
        <w:tblLook w:val="04A0" w:firstRow="1" w:lastRow="0" w:firstColumn="1" w:lastColumn="0" w:noHBand="0" w:noVBand="1"/>
      </w:tblPr>
      <w:tblGrid>
        <w:gridCol w:w="9016"/>
      </w:tblGrid>
      <w:tr w:rsidR="002A7081" w:rsidRPr="00C66AFF" w14:paraId="42DAF53E" w14:textId="77777777" w:rsidTr="002A7081">
        <w:tc>
          <w:tcPr>
            <w:tcW w:w="9016" w:type="dxa"/>
          </w:tcPr>
          <w:p w14:paraId="4E2C229C" w14:textId="77777777" w:rsidR="0095111E" w:rsidRPr="00646746" w:rsidRDefault="0095111E" w:rsidP="0095111E">
            <w:pPr>
              <w:pStyle w:val="Default"/>
              <w:rPr>
                <w:rFonts w:ascii="Gotham Book" w:hAnsi="Gotham Book" w:cstheme="minorHAnsi"/>
                <w:b/>
                <w:sz w:val="22"/>
                <w:szCs w:val="22"/>
              </w:rPr>
            </w:pPr>
            <w:r w:rsidRPr="00646746">
              <w:rPr>
                <w:rFonts w:ascii="Gotham Book" w:hAnsi="Gotham Book" w:cstheme="minorHAnsi"/>
                <w:b/>
                <w:sz w:val="22"/>
                <w:szCs w:val="22"/>
              </w:rPr>
              <w:t xml:space="preserve">Desirable and undesirable effects </w:t>
            </w:r>
          </w:p>
          <w:p w14:paraId="0E388F6B" w14:textId="0C3209E3" w:rsidR="0095111E" w:rsidRPr="00646746" w:rsidRDefault="0095111E" w:rsidP="00CA72EE">
            <w:pPr>
              <w:pStyle w:val="Default"/>
              <w:numPr>
                <w:ilvl w:val="0"/>
                <w:numId w:val="22"/>
              </w:numPr>
              <w:rPr>
                <w:rFonts w:ascii="Gotham Book" w:hAnsi="Gotham Book" w:cstheme="minorHAnsi"/>
                <w:sz w:val="22"/>
                <w:szCs w:val="22"/>
              </w:rPr>
            </w:pPr>
            <w:r w:rsidRPr="00646746">
              <w:rPr>
                <w:rFonts w:ascii="Gotham Book" w:hAnsi="Gotham Book" w:cstheme="minorHAnsi"/>
                <w:sz w:val="22"/>
                <w:szCs w:val="22"/>
              </w:rPr>
              <w:t xml:space="preserve">Addressing equity-sensitive outcomes such as access, burden of care and stigma </w:t>
            </w:r>
          </w:p>
          <w:p w14:paraId="2AE2C00F" w14:textId="212AE553" w:rsidR="0095111E" w:rsidRPr="00646746" w:rsidRDefault="0095111E" w:rsidP="00CA72EE">
            <w:pPr>
              <w:pStyle w:val="Default"/>
              <w:numPr>
                <w:ilvl w:val="0"/>
                <w:numId w:val="22"/>
              </w:numPr>
              <w:rPr>
                <w:rFonts w:ascii="Gotham Book" w:hAnsi="Gotham Book" w:cstheme="minorHAnsi"/>
                <w:sz w:val="22"/>
                <w:szCs w:val="22"/>
              </w:rPr>
            </w:pPr>
            <w:r w:rsidRPr="00646746">
              <w:rPr>
                <w:rFonts w:ascii="Gotham Book" w:hAnsi="Gotham Book" w:cstheme="minorHAnsi"/>
                <w:sz w:val="22"/>
                <w:szCs w:val="22"/>
              </w:rPr>
              <w:t xml:space="preserve">Presenting absolute effects separately for groups that may experience greater benefit or harm from a treatment option because they have a high baseline risk for certain outcomes </w:t>
            </w:r>
          </w:p>
          <w:p w14:paraId="57EEBE2A" w14:textId="77777777" w:rsidR="0095111E" w:rsidRPr="00646746" w:rsidRDefault="0095111E" w:rsidP="0095111E">
            <w:pPr>
              <w:pStyle w:val="Default"/>
              <w:rPr>
                <w:rFonts w:ascii="Gotham Book" w:hAnsi="Gotham Book" w:cstheme="minorHAnsi"/>
                <w:sz w:val="22"/>
                <w:szCs w:val="22"/>
              </w:rPr>
            </w:pPr>
          </w:p>
          <w:p w14:paraId="7D022C5E" w14:textId="77777777" w:rsidR="0095111E" w:rsidRPr="00646746" w:rsidRDefault="0095111E" w:rsidP="0095111E">
            <w:pPr>
              <w:pStyle w:val="Default"/>
              <w:rPr>
                <w:rFonts w:ascii="Gotham Book" w:hAnsi="Gotham Book" w:cstheme="minorHAnsi"/>
                <w:b/>
                <w:sz w:val="22"/>
                <w:szCs w:val="22"/>
              </w:rPr>
            </w:pPr>
            <w:r w:rsidRPr="00646746">
              <w:rPr>
                <w:rFonts w:ascii="Gotham Book" w:hAnsi="Gotham Book" w:cstheme="minorHAnsi"/>
                <w:b/>
                <w:sz w:val="22"/>
                <w:szCs w:val="22"/>
              </w:rPr>
              <w:lastRenderedPageBreak/>
              <w:t xml:space="preserve">Values </w:t>
            </w:r>
          </w:p>
          <w:p w14:paraId="576D0D8E" w14:textId="6479B010" w:rsidR="0095111E" w:rsidRPr="00646746" w:rsidRDefault="0095111E" w:rsidP="00CA72EE">
            <w:pPr>
              <w:pStyle w:val="Default"/>
              <w:numPr>
                <w:ilvl w:val="0"/>
                <w:numId w:val="22"/>
              </w:numPr>
              <w:rPr>
                <w:rFonts w:ascii="Gotham Book" w:hAnsi="Gotham Book" w:cstheme="minorHAnsi"/>
                <w:sz w:val="22"/>
                <w:szCs w:val="22"/>
              </w:rPr>
            </w:pPr>
            <w:r w:rsidRPr="00646746">
              <w:rPr>
                <w:rFonts w:ascii="Gotham Book" w:hAnsi="Gotham Book" w:cstheme="minorHAnsi"/>
                <w:sz w:val="22"/>
                <w:szCs w:val="22"/>
              </w:rPr>
              <w:t xml:space="preserve">Examining whether some groups weigh the benefits and harms of an option differently leading them to make different choices because they place more value on certain outcomes </w:t>
            </w:r>
          </w:p>
          <w:p w14:paraId="0DADE0B9" w14:textId="77777777" w:rsidR="0095111E" w:rsidRPr="00646746" w:rsidRDefault="0095111E" w:rsidP="0095111E">
            <w:pPr>
              <w:pStyle w:val="Default"/>
              <w:rPr>
                <w:rFonts w:ascii="Gotham Book" w:hAnsi="Gotham Book" w:cstheme="minorHAnsi"/>
                <w:sz w:val="22"/>
                <w:szCs w:val="22"/>
              </w:rPr>
            </w:pPr>
          </w:p>
          <w:p w14:paraId="6292CE68" w14:textId="77777777" w:rsidR="0095111E" w:rsidRPr="00646746" w:rsidRDefault="0095111E" w:rsidP="0095111E">
            <w:pPr>
              <w:pStyle w:val="Default"/>
              <w:rPr>
                <w:rFonts w:ascii="Gotham Book" w:hAnsi="Gotham Book" w:cstheme="minorHAnsi"/>
                <w:b/>
                <w:sz w:val="22"/>
                <w:szCs w:val="22"/>
              </w:rPr>
            </w:pPr>
            <w:r w:rsidRPr="00646746">
              <w:rPr>
                <w:rFonts w:ascii="Gotham Book" w:hAnsi="Gotham Book" w:cstheme="minorHAnsi"/>
                <w:b/>
                <w:sz w:val="22"/>
                <w:szCs w:val="22"/>
              </w:rPr>
              <w:t xml:space="preserve">Resources </w:t>
            </w:r>
          </w:p>
          <w:p w14:paraId="35054446" w14:textId="48AF90B5" w:rsidR="0095111E" w:rsidRPr="00646746" w:rsidRDefault="0095111E" w:rsidP="00CA72EE">
            <w:pPr>
              <w:pStyle w:val="Default"/>
              <w:numPr>
                <w:ilvl w:val="0"/>
                <w:numId w:val="22"/>
              </w:numPr>
              <w:rPr>
                <w:rFonts w:ascii="Gotham Book" w:hAnsi="Gotham Book" w:cstheme="minorHAnsi"/>
                <w:sz w:val="22"/>
                <w:szCs w:val="22"/>
              </w:rPr>
            </w:pPr>
            <w:r w:rsidRPr="00646746">
              <w:rPr>
                <w:rFonts w:ascii="Gotham Book" w:hAnsi="Gotham Book" w:cstheme="minorHAnsi"/>
                <w:sz w:val="22"/>
                <w:szCs w:val="22"/>
              </w:rPr>
              <w:t xml:space="preserve">Presenting additional out of pocket costs required to access care, such as travel or accommodation for people in regional, rural or remote areas </w:t>
            </w:r>
          </w:p>
          <w:p w14:paraId="2618F8C3" w14:textId="77777777" w:rsidR="0095111E" w:rsidRPr="00646746" w:rsidRDefault="0095111E" w:rsidP="0095111E">
            <w:pPr>
              <w:pStyle w:val="Default"/>
              <w:rPr>
                <w:rFonts w:ascii="Gotham Book" w:hAnsi="Gotham Book" w:cstheme="minorHAnsi"/>
                <w:sz w:val="22"/>
                <w:szCs w:val="22"/>
              </w:rPr>
            </w:pPr>
          </w:p>
          <w:p w14:paraId="270C27AF" w14:textId="77777777" w:rsidR="0095111E" w:rsidRPr="00646746" w:rsidRDefault="0095111E" w:rsidP="0095111E">
            <w:pPr>
              <w:pStyle w:val="Default"/>
              <w:rPr>
                <w:rFonts w:ascii="Gotham Book" w:hAnsi="Gotham Book" w:cstheme="minorHAnsi"/>
                <w:b/>
                <w:sz w:val="22"/>
                <w:szCs w:val="22"/>
              </w:rPr>
            </w:pPr>
            <w:r w:rsidRPr="00646746">
              <w:rPr>
                <w:rFonts w:ascii="Gotham Book" w:hAnsi="Gotham Book" w:cstheme="minorHAnsi"/>
                <w:b/>
                <w:sz w:val="22"/>
                <w:szCs w:val="22"/>
              </w:rPr>
              <w:t xml:space="preserve">Acceptability </w:t>
            </w:r>
          </w:p>
          <w:p w14:paraId="185B2C0F" w14:textId="7CC738C3" w:rsidR="0095111E" w:rsidRPr="00646746" w:rsidRDefault="0095111E" w:rsidP="00CA72EE">
            <w:pPr>
              <w:pStyle w:val="Default"/>
              <w:numPr>
                <w:ilvl w:val="0"/>
                <w:numId w:val="22"/>
              </w:numPr>
              <w:rPr>
                <w:rFonts w:ascii="Gotham Book" w:hAnsi="Gotham Book" w:cstheme="minorHAnsi"/>
                <w:sz w:val="22"/>
                <w:szCs w:val="22"/>
              </w:rPr>
            </w:pPr>
            <w:r w:rsidRPr="00646746">
              <w:rPr>
                <w:rFonts w:ascii="Gotham Book" w:hAnsi="Gotham Book" w:cstheme="minorHAnsi"/>
                <w:sz w:val="22"/>
                <w:szCs w:val="22"/>
              </w:rPr>
              <w:t xml:space="preserve">Examining whether an option is culturally safe and appropriate </w:t>
            </w:r>
          </w:p>
          <w:p w14:paraId="7CB5F9DC" w14:textId="77777777" w:rsidR="0095111E" w:rsidRPr="00646746" w:rsidRDefault="0095111E" w:rsidP="0095111E">
            <w:pPr>
              <w:pStyle w:val="Default"/>
              <w:rPr>
                <w:rFonts w:ascii="Gotham Book" w:hAnsi="Gotham Book" w:cstheme="minorHAnsi"/>
                <w:sz w:val="22"/>
                <w:szCs w:val="22"/>
              </w:rPr>
            </w:pPr>
          </w:p>
          <w:p w14:paraId="6C3F78E3" w14:textId="77777777" w:rsidR="0095111E" w:rsidRPr="00646746" w:rsidRDefault="0095111E" w:rsidP="0095111E">
            <w:pPr>
              <w:pStyle w:val="Default"/>
              <w:rPr>
                <w:rFonts w:ascii="Gotham Book" w:hAnsi="Gotham Book" w:cstheme="minorHAnsi"/>
                <w:b/>
                <w:sz w:val="22"/>
                <w:szCs w:val="22"/>
              </w:rPr>
            </w:pPr>
            <w:r w:rsidRPr="00646746">
              <w:rPr>
                <w:rFonts w:ascii="Gotham Book" w:hAnsi="Gotham Book" w:cstheme="minorHAnsi"/>
                <w:b/>
                <w:sz w:val="22"/>
                <w:szCs w:val="22"/>
              </w:rPr>
              <w:t xml:space="preserve">Feasibility </w:t>
            </w:r>
          </w:p>
          <w:p w14:paraId="57C1DA27" w14:textId="1ED8F3BC" w:rsidR="002A7081" w:rsidRPr="00AA3781" w:rsidRDefault="0095111E" w:rsidP="00CA72EE">
            <w:pPr>
              <w:pStyle w:val="Default"/>
              <w:numPr>
                <w:ilvl w:val="0"/>
                <w:numId w:val="22"/>
              </w:numPr>
              <w:rPr>
                <w:rFonts w:ascii="Gotham Book" w:hAnsi="Gotham Book" w:cstheme="minorHAnsi"/>
                <w:sz w:val="22"/>
                <w:szCs w:val="22"/>
              </w:rPr>
            </w:pPr>
            <w:r w:rsidRPr="00646746">
              <w:rPr>
                <w:rFonts w:ascii="Gotham Book" w:hAnsi="Gotham Book" w:cstheme="minorHAnsi"/>
                <w:sz w:val="22"/>
                <w:szCs w:val="22"/>
              </w:rPr>
              <w:t xml:space="preserve">Identifying barriers that must be addressed to ensure equitable access to an option </w:t>
            </w:r>
          </w:p>
        </w:tc>
      </w:tr>
    </w:tbl>
    <w:p w14:paraId="7F74063C" w14:textId="77777777" w:rsidR="002A7081" w:rsidRPr="00C66AFF" w:rsidRDefault="002A7081" w:rsidP="00F0253F">
      <w:pPr>
        <w:spacing w:after="160" w:line="259" w:lineRule="auto"/>
        <w:rPr>
          <w:rFonts w:ascii="Gotham Book" w:hAnsi="Gotham Book"/>
          <w:sz w:val="20"/>
          <w:szCs w:val="20"/>
        </w:rPr>
      </w:pPr>
    </w:p>
    <w:p w14:paraId="38CBF728" w14:textId="1E629477" w:rsidR="002A7081" w:rsidRPr="00646746" w:rsidRDefault="00EC28AE" w:rsidP="00F0253F">
      <w:pPr>
        <w:spacing w:after="160" w:line="259" w:lineRule="auto"/>
        <w:rPr>
          <w:rFonts w:ascii="Gotham Book" w:hAnsi="Gotham Book" w:cstheme="minorHAnsi"/>
        </w:rPr>
      </w:pPr>
      <w:r w:rsidRPr="00646746">
        <w:rPr>
          <w:rFonts w:ascii="Gotham Book" w:hAnsi="Gotham Book" w:cstheme="minorHAnsi"/>
        </w:rPr>
        <w:t>For all criteria, additional considerations can inform judgements</w:t>
      </w:r>
      <w:r w:rsidR="00787645" w:rsidRPr="00787645">
        <w:rPr>
          <w:rFonts w:ascii="Gotham Book" w:hAnsi="Gotham Book" w:cstheme="minorHAnsi"/>
          <w:vertAlign w:val="superscript"/>
        </w:rPr>
        <w:t>14</w:t>
      </w:r>
      <w:r w:rsidR="00787645">
        <w:rPr>
          <w:rFonts w:ascii="Gotham Book" w:hAnsi="Gotham Book" w:cstheme="minorHAnsi"/>
        </w:rPr>
        <w:t xml:space="preserve">. </w:t>
      </w:r>
      <w:r w:rsidRPr="00646746">
        <w:rPr>
          <w:rFonts w:ascii="Gotham Book" w:hAnsi="Gotham Book" w:cstheme="minorHAnsi"/>
        </w:rPr>
        <w:t xml:space="preserve">This may include local data, collected from administrative sources or specifically for the guideline. Such data may help understand equity implications, the acceptability of options, and factors that influence the feasibility of implementing recommendations. It may also include what the GDG considers to be plausible reasons for why options may not be acceptable, feasible or would lead to inequity. Panel members will bring knowledge and experience that should be captured in the </w:t>
      </w:r>
      <w:proofErr w:type="spellStart"/>
      <w:r w:rsidRPr="00646746">
        <w:rPr>
          <w:rFonts w:ascii="Gotham Book" w:hAnsi="Gotham Book" w:cstheme="minorHAnsi"/>
        </w:rPr>
        <w:t>EtD</w:t>
      </w:r>
      <w:proofErr w:type="spellEnd"/>
      <w:r w:rsidRPr="00646746">
        <w:rPr>
          <w:rFonts w:ascii="Gotham Book" w:hAnsi="Gotham Book" w:cstheme="minorHAnsi"/>
        </w:rPr>
        <w:t xml:space="preserve"> if it influences the recommendation. Methods have been developed for systematically gathering this ‘expert evidence’ from consumers and health professionals</w:t>
      </w:r>
      <w:r w:rsidR="007A2DAF" w:rsidRPr="004E1776">
        <w:rPr>
          <w:rFonts w:ascii="Gotham Book" w:hAnsi="Gotham Book" w:cstheme="minorHAnsi"/>
          <w:vertAlign w:val="superscript"/>
        </w:rPr>
        <w:t>29,30</w:t>
      </w:r>
      <w:r w:rsidR="007A2DAF">
        <w:rPr>
          <w:rFonts w:ascii="Gotham Book" w:hAnsi="Gotham Book" w:cstheme="minorHAnsi"/>
        </w:rPr>
        <w:t>.</w:t>
      </w:r>
    </w:p>
    <w:p w14:paraId="55D3B7E2" w14:textId="23BE6E81" w:rsidR="00EC28AE" w:rsidRPr="00646746" w:rsidRDefault="00EC28AE" w:rsidP="00E66912">
      <w:pPr>
        <w:pStyle w:val="Heading2"/>
        <w:spacing w:after="160"/>
        <w:ind w:left="357" w:hanging="357"/>
        <w:rPr>
          <w:sz w:val="26"/>
        </w:rPr>
      </w:pPr>
      <w:bookmarkStart w:id="11" w:name="_Toc491359913"/>
      <w:bookmarkStart w:id="12" w:name="_Toc184284425"/>
      <w:r w:rsidRPr="00646746">
        <w:rPr>
          <w:sz w:val="26"/>
        </w:rPr>
        <w:t xml:space="preserve">Decide on the process for using the </w:t>
      </w:r>
      <w:proofErr w:type="spellStart"/>
      <w:r w:rsidRPr="00646746">
        <w:rPr>
          <w:sz w:val="26"/>
        </w:rPr>
        <w:t>EtD</w:t>
      </w:r>
      <w:proofErr w:type="spellEnd"/>
      <w:r w:rsidRPr="00646746">
        <w:rPr>
          <w:sz w:val="26"/>
        </w:rPr>
        <w:t xml:space="preserve"> to make recommendations</w:t>
      </w:r>
      <w:bookmarkEnd w:id="12"/>
    </w:p>
    <w:p w14:paraId="0A19FEB8" w14:textId="77777777" w:rsidR="00990061" w:rsidRPr="00CF730D" w:rsidRDefault="00990061" w:rsidP="00990061">
      <w:pPr>
        <w:autoSpaceDE w:val="0"/>
        <w:autoSpaceDN w:val="0"/>
        <w:adjustRightInd w:val="0"/>
        <w:spacing w:after="0" w:line="240" w:lineRule="auto"/>
        <w:rPr>
          <w:rFonts w:ascii="Gotham Book" w:hAnsi="Gotham Book" w:cs="Calibri"/>
          <w:color w:val="000000"/>
        </w:rPr>
      </w:pPr>
      <w:r w:rsidRPr="00CF730D">
        <w:rPr>
          <w:rFonts w:ascii="Gotham Book" w:hAnsi="Gotham Book" w:cs="Calibri"/>
          <w:color w:val="000000"/>
        </w:rPr>
        <w:t xml:space="preserve">The </w:t>
      </w:r>
      <w:proofErr w:type="spellStart"/>
      <w:r w:rsidRPr="00CF730D">
        <w:rPr>
          <w:rFonts w:ascii="Gotham Book" w:hAnsi="Gotham Book" w:cs="Calibri"/>
          <w:color w:val="000000"/>
        </w:rPr>
        <w:t>EtD</w:t>
      </w:r>
      <w:proofErr w:type="spellEnd"/>
      <w:r w:rsidRPr="00CF730D">
        <w:rPr>
          <w:rFonts w:ascii="Gotham Book" w:hAnsi="Gotham Book" w:cs="Calibri"/>
          <w:color w:val="000000"/>
        </w:rPr>
        <w:t xml:space="preserve"> framework is a tool for group-decision making, facilitating structured discussion and explicit judgements about the evidence considered when making a recommendation. Guideline groups vary in how they use the </w:t>
      </w:r>
      <w:proofErr w:type="spellStart"/>
      <w:r w:rsidRPr="00CF730D">
        <w:rPr>
          <w:rFonts w:ascii="Gotham Book" w:hAnsi="Gotham Book" w:cs="Calibri"/>
          <w:color w:val="000000"/>
        </w:rPr>
        <w:t>EtD</w:t>
      </w:r>
      <w:proofErr w:type="spellEnd"/>
      <w:r w:rsidRPr="00CF730D">
        <w:rPr>
          <w:rFonts w:ascii="Gotham Book" w:hAnsi="Gotham Book" w:cs="Calibri"/>
          <w:color w:val="000000"/>
        </w:rPr>
        <w:t xml:space="preserve"> to make recommendations. When the </w:t>
      </w:r>
      <w:proofErr w:type="spellStart"/>
      <w:r w:rsidRPr="00CF730D">
        <w:rPr>
          <w:rFonts w:ascii="Gotham Book" w:hAnsi="Gotham Book" w:cs="Calibri"/>
          <w:color w:val="000000"/>
        </w:rPr>
        <w:t>EtD</w:t>
      </w:r>
      <w:proofErr w:type="spellEnd"/>
      <w:r w:rsidRPr="00CF730D">
        <w:rPr>
          <w:rFonts w:ascii="Gotham Book" w:hAnsi="Gotham Book" w:cs="Calibri"/>
          <w:color w:val="000000"/>
        </w:rPr>
        <w:t xml:space="preserve"> is fully implemented, the GDG makes judgements for each </w:t>
      </w:r>
      <w:proofErr w:type="spellStart"/>
      <w:r w:rsidRPr="00CF730D">
        <w:rPr>
          <w:rFonts w:ascii="Gotham Book" w:hAnsi="Gotham Book" w:cs="Calibri"/>
          <w:color w:val="000000"/>
        </w:rPr>
        <w:t>EtD</w:t>
      </w:r>
      <w:proofErr w:type="spellEnd"/>
      <w:r w:rsidRPr="00CF730D">
        <w:rPr>
          <w:rFonts w:ascii="Gotham Book" w:hAnsi="Gotham Book" w:cs="Calibri"/>
          <w:color w:val="000000"/>
        </w:rPr>
        <w:t xml:space="preserve"> criterion based on discussion of the evidence and additional considerations, and then decides on the recommendation. In more streamlined processes, some steps are undertaken by the technical team that prepares the evidence or by a smaller working group comprised of members of the GDG (e.g. co-chairs). The process used will depend largely on the preferences and circumstances of the guideline development group. You do however have to document the method you used to finalise the recommendations. </w:t>
      </w:r>
    </w:p>
    <w:p w14:paraId="59D24764" w14:textId="77777777" w:rsidR="00C07D62" w:rsidRPr="00CF730D" w:rsidRDefault="00C07D62" w:rsidP="00990061">
      <w:pPr>
        <w:autoSpaceDE w:val="0"/>
        <w:autoSpaceDN w:val="0"/>
        <w:adjustRightInd w:val="0"/>
        <w:spacing w:after="0" w:line="240" w:lineRule="auto"/>
        <w:rPr>
          <w:rFonts w:ascii="Gotham Book" w:hAnsi="Gotham Book" w:cs="Calibri"/>
          <w:color w:val="000000"/>
        </w:rPr>
      </w:pPr>
    </w:p>
    <w:p w14:paraId="25EDEA9C" w14:textId="782FFF51" w:rsidR="00EC28AE" w:rsidRPr="00646746" w:rsidRDefault="00990061" w:rsidP="00C07D62">
      <w:pPr>
        <w:rPr>
          <w:rFonts w:ascii="Gotham Book" w:hAnsi="Gotham Book" w:cs="Calibri"/>
          <w:color w:val="000000"/>
        </w:rPr>
      </w:pPr>
      <w:r w:rsidRPr="00CF730D">
        <w:rPr>
          <w:rFonts w:ascii="Gotham Book" w:hAnsi="Gotham Book" w:cs="Calibri"/>
          <w:color w:val="000000"/>
        </w:rPr>
        <w:t xml:space="preserve">Planning who will be responsible for each step, and how decisions will be made, can ensure that the implications of different approaches are understood. The </w:t>
      </w:r>
      <w:r w:rsidRPr="00CF730D">
        <w:rPr>
          <w:rFonts w:ascii="Gotham Book" w:hAnsi="Gotham Book" w:cs="Calibri"/>
          <w:color w:val="000000"/>
        </w:rPr>
        <w:lastRenderedPageBreak/>
        <w:t>process used may influence the quality of decisions, have resource implications, and influence the time required of GDG members ahead of and at meetings.</w:t>
      </w:r>
    </w:p>
    <w:p w14:paraId="74730161" w14:textId="77777777" w:rsidR="00DC7818" w:rsidRPr="00646746" w:rsidRDefault="00DC7818" w:rsidP="002632EC">
      <w:pPr>
        <w:pStyle w:val="Heading4"/>
      </w:pPr>
      <w:r w:rsidRPr="00646746">
        <w:t xml:space="preserve">Decide on the process for discussing evidence and making judgments about each criterion </w:t>
      </w:r>
    </w:p>
    <w:p w14:paraId="3DC6B083" w14:textId="18120FD8" w:rsidR="00C07D62" w:rsidRPr="00646746" w:rsidRDefault="00DC7818" w:rsidP="00C07D62">
      <w:pPr>
        <w:rPr>
          <w:rFonts w:ascii="Gotham Book" w:hAnsi="Gotham Book" w:cstheme="minorHAnsi"/>
        </w:rPr>
      </w:pPr>
      <w:r w:rsidRPr="00646746">
        <w:rPr>
          <w:rFonts w:ascii="Gotham Book" w:hAnsi="Gotham Book" w:cstheme="minorHAnsi"/>
        </w:rPr>
        <w:t>The process used to make these decisions should capture the views of all GDG members, and surface divergent perspectives and interpretations of the evidence about each criterion</w:t>
      </w:r>
      <w:r w:rsidR="004E1776" w:rsidRPr="004E1776">
        <w:rPr>
          <w:rFonts w:ascii="Gotham Book" w:hAnsi="Gotham Book" w:cstheme="minorHAnsi"/>
          <w:vertAlign w:val="superscript"/>
        </w:rPr>
        <w:t>31</w:t>
      </w:r>
      <w:r w:rsidR="004E1776">
        <w:rPr>
          <w:rFonts w:ascii="Gotham Book" w:hAnsi="Gotham Book" w:cstheme="minorHAnsi"/>
        </w:rPr>
        <w:t>.</w:t>
      </w:r>
      <w:r w:rsidR="004E1776" w:rsidRPr="004E1776">
        <w:rPr>
          <w:rFonts w:ascii="Gotham Book" w:hAnsi="Gotham Book" w:cstheme="minorHAnsi"/>
        </w:rPr>
        <w:t xml:space="preserve"> </w:t>
      </w:r>
      <w:r w:rsidRPr="00646746">
        <w:rPr>
          <w:rFonts w:ascii="Gotham Book" w:hAnsi="Gotham Book" w:cstheme="minorHAnsi"/>
        </w:rPr>
        <w:t>These are essential inputs for informing the recommendation. Ideally, GDG members will have opportunity to make initial judgements prior to hearing other perspectives, so that the full diversity of views is captured. There should then be opportunity for GDG members to consider the perspectives of other members and reach a decision, using a collaborative approach that supports balanced representation of different interests.</w:t>
      </w:r>
    </w:p>
    <w:p w14:paraId="556735E3" w14:textId="24863B92" w:rsidR="00DC7818" w:rsidRPr="00646746" w:rsidRDefault="00DC7818" w:rsidP="00C07D62">
      <w:pPr>
        <w:rPr>
          <w:rFonts w:ascii="Gotham Book" w:hAnsi="Gotham Book" w:cstheme="minorHAnsi"/>
          <w:b/>
        </w:rPr>
      </w:pPr>
      <w:r w:rsidRPr="00646746">
        <w:rPr>
          <w:rFonts w:ascii="Gotham Book" w:hAnsi="Gotham Book" w:cstheme="minorHAnsi"/>
          <w:b/>
        </w:rPr>
        <w:t>A possible process that involves iterations of feedback is as follows:</w:t>
      </w:r>
    </w:p>
    <w:p w14:paraId="1569FF14" w14:textId="6B167966" w:rsidR="00386F04" w:rsidRPr="00646746" w:rsidRDefault="00386F04" w:rsidP="00386F04">
      <w:pPr>
        <w:rPr>
          <w:rFonts w:ascii="Gotham Book" w:hAnsi="Gotham Book"/>
          <w:u w:val="single"/>
        </w:rPr>
      </w:pPr>
      <w:r w:rsidRPr="00646746">
        <w:rPr>
          <w:rFonts w:ascii="Gotham Book" w:hAnsi="Gotham Book"/>
          <w:u w:val="single"/>
        </w:rPr>
        <w:t>Ahead of the GDG meeting</w:t>
      </w:r>
    </w:p>
    <w:p w14:paraId="1E6B6B53" w14:textId="4C6872AD" w:rsidR="00386F04" w:rsidRPr="00646746" w:rsidRDefault="00386F04" w:rsidP="00C72FB1">
      <w:pPr>
        <w:pStyle w:val="ListParagraph"/>
        <w:numPr>
          <w:ilvl w:val="0"/>
          <w:numId w:val="22"/>
        </w:numPr>
        <w:rPr>
          <w:rFonts w:ascii="Gotham Book" w:hAnsi="Gotham Book"/>
        </w:rPr>
      </w:pPr>
      <w:r w:rsidRPr="00646746">
        <w:rPr>
          <w:rFonts w:ascii="Gotham Book" w:hAnsi="Gotham Book"/>
        </w:rPr>
        <w:t xml:space="preserve">Circulate the draft </w:t>
      </w:r>
      <w:proofErr w:type="spellStart"/>
      <w:r w:rsidRPr="00646746">
        <w:rPr>
          <w:rFonts w:ascii="Gotham Book" w:hAnsi="Gotham Book"/>
        </w:rPr>
        <w:t>EtD</w:t>
      </w:r>
      <w:proofErr w:type="spellEnd"/>
      <w:r w:rsidRPr="00646746">
        <w:rPr>
          <w:rFonts w:ascii="Gotham Book" w:hAnsi="Gotham Book"/>
        </w:rPr>
        <w:t xml:space="preserve"> to GDG members </w:t>
      </w:r>
    </w:p>
    <w:p w14:paraId="1A010674" w14:textId="0469AFF9" w:rsidR="00386F04" w:rsidRPr="00646746" w:rsidRDefault="00386F04" w:rsidP="00C72FB1">
      <w:pPr>
        <w:pStyle w:val="ListParagraph"/>
        <w:numPr>
          <w:ilvl w:val="0"/>
          <w:numId w:val="22"/>
        </w:numPr>
        <w:rPr>
          <w:rFonts w:ascii="Gotham Book" w:hAnsi="Gotham Book"/>
        </w:rPr>
      </w:pPr>
      <w:r w:rsidRPr="00646746">
        <w:rPr>
          <w:rFonts w:ascii="Gotham Book" w:hAnsi="Gotham Book"/>
        </w:rPr>
        <w:t xml:space="preserve">GDG members review the evidence and make an independent judgement for each </w:t>
      </w:r>
      <w:proofErr w:type="spellStart"/>
      <w:r w:rsidRPr="00646746">
        <w:rPr>
          <w:rFonts w:ascii="Gotham Book" w:hAnsi="Gotham Book"/>
        </w:rPr>
        <w:t>EtD</w:t>
      </w:r>
      <w:proofErr w:type="spellEnd"/>
      <w:r w:rsidRPr="00646746">
        <w:rPr>
          <w:rFonts w:ascii="Gotham Book" w:hAnsi="Gotham Book"/>
        </w:rPr>
        <w:t xml:space="preserve"> criterion (i.e. unaware of decisions made by other members) </w:t>
      </w:r>
    </w:p>
    <w:p w14:paraId="34614591" w14:textId="569D2247" w:rsidR="00386F04" w:rsidRPr="00646746" w:rsidRDefault="00386F04" w:rsidP="00C72FB1">
      <w:pPr>
        <w:pStyle w:val="ListParagraph"/>
        <w:numPr>
          <w:ilvl w:val="0"/>
          <w:numId w:val="22"/>
        </w:numPr>
        <w:rPr>
          <w:rFonts w:ascii="Gotham Book" w:hAnsi="Gotham Book"/>
        </w:rPr>
      </w:pPr>
      <w:r w:rsidRPr="00646746">
        <w:rPr>
          <w:rFonts w:ascii="Gotham Book" w:hAnsi="Gotham Book"/>
        </w:rPr>
        <w:t xml:space="preserve">GDG members have the option to provide comments and additional considerations </w:t>
      </w:r>
    </w:p>
    <w:p w14:paraId="0CAEACBE" w14:textId="4F5FD1E7" w:rsidR="00C3487E" w:rsidRPr="00646746" w:rsidRDefault="00386F04" w:rsidP="00C3487E">
      <w:pPr>
        <w:rPr>
          <w:rFonts w:ascii="Gotham Book" w:hAnsi="Gotham Book"/>
          <w:u w:val="single"/>
        </w:rPr>
      </w:pPr>
      <w:r w:rsidRPr="00646746">
        <w:rPr>
          <w:rFonts w:ascii="Gotham Book" w:hAnsi="Gotham Book"/>
          <w:u w:val="single"/>
        </w:rPr>
        <w:t>At the GDG meeting</w:t>
      </w:r>
    </w:p>
    <w:p w14:paraId="2425AB59" w14:textId="536AAE3F" w:rsidR="00C3487E" w:rsidRPr="00646746" w:rsidRDefault="00C3487E" w:rsidP="00C72FB1">
      <w:pPr>
        <w:pStyle w:val="ListParagraph"/>
        <w:numPr>
          <w:ilvl w:val="0"/>
          <w:numId w:val="22"/>
        </w:numPr>
        <w:rPr>
          <w:rFonts w:ascii="Gotham Book" w:hAnsi="Gotham Book"/>
        </w:rPr>
      </w:pPr>
      <w:r w:rsidRPr="00646746">
        <w:rPr>
          <w:rFonts w:ascii="Gotham Book" w:hAnsi="Gotham Book"/>
        </w:rPr>
        <w:t xml:space="preserve">Briefly present the evidence and comments/additional considerations </w:t>
      </w:r>
    </w:p>
    <w:p w14:paraId="542B4342" w14:textId="143AB39E" w:rsidR="00C3487E" w:rsidRPr="00646746" w:rsidRDefault="00C3487E" w:rsidP="00C72FB1">
      <w:pPr>
        <w:pStyle w:val="ListParagraph"/>
        <w:numPr>
          <w:ilvl w:val="0"/>
          <w:numId w:val="22"/>
        </w:numPr>
        <w:rPr>
          <w:rFonts w:ascii="Gotham Book" w:hAnsi="Gotham Book"/>
        </w:rPr>
      </w:pPr>
      <w:r w:rsidRPr="00646746">
        <w:rPr>
          <w:rFonts w:ascii="Gotham Book" w:hAnsi="Gotham Book"/>
        </w:rPr>
        <w:t xml:space="preserve">Present the judgements for each </w:t>
      </w:r>
      <w:proofErr w:type="spellStart"/>
      <w:r w:rsidRPr="00646746">
        <w:rPr>
          <w:rFonts w:ascii="Gotham Book" w:hAnsi="Gotham Book"/>
        </w:rPr>
        <w:t>EtD</w:t>
      </w:r>
      <w:proofErr w:type="spellEnd"/>
      <w:r w:rsidRPr="00646746">
        <w:rPr>
          <w:rFonts w:ascii="Gotham Book" w:hAnsi="Gotham Book"/>
        </w:rPr>
        <w:t xml:space="preserve"> criterion </w:t>
      </w:r>
    </w:p>
    <w:p w14:paraId="1AC01139" w14:textId="5B245B7D" w:rsidR="00C3487E" w:rsidRPr="00646746" w:rsidRDefault="00C3487E" w:rsidP="00C72FB1">
      <w:pPr>
        <w:pStyle w:val="ListParagraph"/>
        <w:numPr>
          <w:ilvl w:val="0"/>
          <w:numId w:val="22"/>
        </w:numPr>
        <w:rPr>
          <w:rFonts w:ascii="Gotham Book" w:hAnsi="Gotham Book"/>
        </w:rPr>
      </w:pPr>
      <w:r w:rsidRPr="00646746">
        <w:rPr>
          <w:rFonts w:ascii="Gotham Book" w:hAnsi="Gotham Book"/>
        </w:rPr>
        <w:t xml:space="preserve">Discuss points of disagreement identified from the judgments or comments, encouraging those with divergent views to share the reasons for their judgement </w:t>
      </w:r>
    </w:p>
    <w:p w14:paraId="55616DCE" w14:textId="33C07ED3" w:rsidR="00C3487E" w:rsidRPr="00646746" w:rsidRDefault="00C3487E" w:rsidP="00C72FB1">
      <w:pPr>
        <w:pStyle w:val="ListParagraph"/>
        <w:numPr>
          <w:ilvl w:val="0"/>
          <w:numId w:val="22"/>
        </w:numPr>
        <w:rPr>
          <w:rFonts w:ascii="Gotham Book" w:hAnsi="Gotham Book"/>
        </w:rPr>
      </w:pPr>
      <w:r w:rsidRPr="00646746">
        <w:rPr>
          <w:rFonts w:ascii="Gotham Book" w:hAnsi="Gotham Book"/>
        </w:rPr>
        <w:t xml:space="preserve">Poll GDG members privately to determine if there is sufficient consensus to proceed to the next </w:t>
      </w:r>
      <w:proofErr w:type="spellStart"/>
      <w:r w:rsidRPr="00646746">
        <w:rPr>
          <w:rFonts w:ascii="Gotham Book" w:hAnsi="Gotham Book"/>
        </w:rPr>
        <w:t>EtD</w:t>
      </w:r>
      <w:proofErr w:type="spellEnd"/>
      <w:r w:rsidRPr="00646746">
        <w:rPr>
          <w:rFonts w:ascii="Gotham Book" w:hAnsi="Gotham Book"/>
        </w:rPr>
        <w:t xml:space="preserve"> criterion or recommendation </w:t>
      </w:r>
    </w:p>
    <w:p w14:paraId="110B592A" w14:textId="095BFB78" w:rsidR="00386F04" w:rsidRPr="00646746" w:rsidRDefault="00C3487E" w:rsidP="00386F04">
      <w:pPr>
        <w:rPr>
          <w:rFonts w:ascii="Gotham Book" w:hAnsi="Gotham Book"/>
        </w:rPr>
      </w:pPr>
      <w:r w:rsidRPr="00646746">
        <w:rPr>
          <w:rFonts w:ascii="Gotham Book" w:hAnsi="Gotham Book"/>
        </w:rPr>
        <w:t xml:space="preserve">At this stage, polling is used to gauge agreement and identify where to focus discussion. Polling can be a fast way to give all members an equal say and gauge their views. Both </w:t>
      </w:r>
      <w:proofErr w:type="spellStart"/>
      <w:r w:rsidRPr="00646746">
        <w:rPr>
          <w:rFonts w:ascii="Gotham Book" w:hAnsi="Gotham Book"/>
        </w:rPr>
        <w:t>GRADEpro</w:t>
      </w:r>
      <w:proofErr w:type="spellEnd"/>
      <w:r w:rsidRPr="00646746">
        <w:rPr>
          <w:rFonts w:ascii="Gotham Book" w:hAnsi="Gotham Book"/>
        </w:rPr>
        <w:t xml:space="preserve"> and </w:t>
      </w:r>
      <w:proofErr w:type="spellStart"/>
      <w:r w:rsidRPr="00646746">
        <w:rPr>
          <w:rFonts w:ascii="Gotham Book" w:hAnsi="Gotham Book"/>
        </w:rPr>
        <w:t>MAGICapp</w:t>
      </w:r>
      <w:proofErr w:type="spellEnd"/>
      <w:r w:rsidRPr="00646746">
        <w:rPr>
          <w:rFonts w:ascii="Gotham Book" w:hAnsi="Gotham Book"/>
        </w:rPr>
        <w:t xml:space="preserve"> have survey functions that enable distribution of the draft </w:t>
      </w:r>
      <w:proofErr w:type="spellStart"/>
      <w:r w:rsidRPr="00646746">
        <w:rPr>
          <w:rFonts w:ascii="Gotham Book" w:hAnsi="Gotham Book"/>
        </w:rPr>
        <w:t>EtD</w:t>
      </w:r>
      <w:proofErr w:type="spellEnd"/>
      <w:r w:rsidRPr="00646746">
        <w:rPr>
          <w:rFonts w:ascii="Gotham Book" w:hAnsi="Gotham Book"/>
        </w:rPr>
        <w:t xml:space="preserve"> and voting (polling) on each </w:t>
      </w:r>
      <w:proofErr w:type="spellStart"/>
      <w:r w:rsidRPr="00646746">
        <w:rPr>
          <w:rFonts w:ascii="Gotham Book" w:hAnsi="Gotham Book"/>
        </w:rPr>
        <w:t>EtD</w:t>
      </w:r>
      <w:proofErr w:type="spellEnd"/>
      <w:r w:rsidRPr="00646746">
        <w:rPr>
          <w:rFonts w:ascii="Gotham Book" w:hAnsi="Gotham Book"/>
        </w:rPr>
        <w:t xml:space="preserve"> criterion. Results can be shared at meetings (anonymously, if preferred) and polling repeated to support iterative decision-making.</w:t>
      </w:r>
    </w:p>
    <w:p w14:paraId="7ADFBBBB" w14:textId="6E13E67C" w:rsidR="00C3487E" w:rsidRPr="00646746" w:rsidRDefault="00C3487E" w:rsidP="00386F04">
      <w:pPr>
        <w:rPr>
          <w:rFonts w:ascii="Gotham Book" w:hAnsi="Gotham Book"/>
        </w:rPr>
      </w:pPr>
      <w:r w:rsidRPr="00646746">
        <w:rPr>
          <w:rFonts w:ascii="Gotham Book" w:hAnsi="Gotham Book"/>
        </w:rPr>
        <w:t xml:space="preserve">In streamlined processes, the </w:t>
      </w:r>
      <w:proofErr w:type="spellStart"/>
      <w:r w:rsidRPr="00646746">
        <w:rPr>
          <w:rFonts w:ascii="Gotham Book" w:hAnsi="Gotham Book"/>
        </w:rPr>
        <w:t>EtD</w:t>
      </w:r>
      <w:proofErr w:type="spellEnd"/>
      <w:r w:rsidRPr="00646746">
        <w:rPr>
          <w:rFonts w:ascii="Gotham Book" w:hAnsi="Gotham Book"/>
        </w:rPr>
        <w:t xml:space="preserve"> may include a proposed judgement on which the GDG’s agreement is sought. This approach is more common when a </w:t>
      </w:r>
      <w:r w:rsidRPr="00646746">
        <w:rPr>
          <w:rFonts w:ascii="Gotham Book" w:hAnsi="Gotham Book"/>
        </w:rPr>
        <w:lastRenderedPageBreak/>
        <w:t>recommendation from an existing guideline is considered for adoption or adaption</w:t>
      </w:r>
      <w:r w:rsidR="004E1776" w:rsidRPr="004E1776">
        <w:rPr>
          <w:rFonts w:ascii="Gotham Book" w:hAnsi="Gotham Book"/>
          <w:vertAlign w:val="superscript"/>
        </w:rPr>
        <w:t>13</w:t>
      </w:r>
      <w:r w:rsidR="004E1776">
        <w:rPr>
          <w:rFonts w:ascii="Gotham Book" w:hAnsi="Gotham Book"/>
        </w:rPr>
        <w:t>.</w:t>
      </w:r>
    </w:p>
    <w:p w14:paraId="1F013982" w14:textId="77777777" w:rsidR="0004662F" w:rsidRPr="00646746" w:rsidRDefault="0004662F" w:rsidP="002632EC">
      <w:pPr>
        <w:pStyle w:val="Heading4"/>
      </w:pPr>
      <w:r w:rsidRPr="00646746">
        <w:t xml:space="preserve">Decide on the process for agreeing on the direction and strength of recommendations </w:t>
      </w:r>
    </w:p>
    <w:p w14:paraId="2FC52DB6" w14:textId="065F3714" w:rsidR="00C3487E" w:rsidRPr="00646746" w:rsidRDefault="0004662F" w:rsidP="00386F04">
      <w:pPr>
        <w:rPr>
          <w:rFonts w:ascii="Gotham Book" w:hAnsi="Gotham Book" w:cstheme="minorHAnsi"/>
        </w:rPr>
      </w:pPr>
      <w:r w:rsidRPr="00646746">
        <w:rPr>
          <w:rFonts w:ascii="Gotham Book" w:hAnsi="Gotham Book" w:cstheme="minorHAnsi"/>
        </w:rPr>
        <w:t xml:space="preserve">The judgements made for the </w:t>
      </w:r>
      <w:proofErr w:type="spellStart"/>
      <w:r w:rsidRPr="00646746">
        <w:rPr>
          <w:rFonts w:ascii="Gotham Book" w:hAnsi="Gotham Book" w:cstheme="minorHAnsi"/>
        </w:rPr>
        <w:t>EtD</w:t>
      </w:r>
      <w:proofErr w:type="spellEnd"/>
      <w:r w:rsidRPr="00646746">
        <w:rPr>
          <w:rFonts w:ascii="Gotham Book" w:hAnsi="Gotham Book" w:cstheme="minorHAnsi"/>
        </w:rPr>
        <w:t xml:space="preserve"> criteria should guide the GDG’s decision-making, but a process will be needed to agree on the direction and strength of the recommendation (see </w:t>
      </w:r>
      <w:r w:rsidRPr="005C0907">
        <w:rPr>
          <w:rFonts w:ascii="Gotham Book" w:hAnsi="Gotham Book" w:cstheme="minorHAnsi"/>
          <w:u w:val="single"/>
        </w:rPr>
        <w:t>Section 5</w:t>
      </w:r>
      <w:r w:rsidRPr="00646746">
        <w:rPr>
          <w:rFonts w:ascii="Gotham Book" w:hAnsi="Gotham Book" w:cstheme="minorHAnsi"/>
        </w:rPr>
        <w:t xml:space="preserve"> for explanation of types of recommendations). In some cases, the </w:t>
      </w:r>
      <w:proofErr w:type="spellStart"/>
      <w:r w:rsidRPr="00646746">
        <w:rPr>
          <w:rFonts w:ascii="Gotham Book" w:hAnsi="Gotham Book" w:cstheme="minorHAnsi"/>
        </w:rPr>
        <w:t>EtD</w:t>
      </w:r>
      <w:proofErr w:type="spellEnd"/>
      <w:r w:rsidRPr="00646746">
        <w:rPr>
          <w:rFonts w:ascii="Gotham Book" w:hAnsi="Gotham Book" w:cstheme="minorHAnsi"/>
        </w:rPr>
        <w:t xml:space="preserve"> judgements will clearly favour one option. Where there is a close balance, the GDG must consider the implications and importance of each of the </w:t>
      </w:r>
      <w:proofErr w:type="spellStart"/>
      <w:r w:rsidRPr="00646746">
        <w:rPr>
          <w:rFonts w:ascii="Gotham Book" w:hAnsi="Gotham Book" w:cstheme="minorHAnsi"/>
        </w:rPr>
        <w:t>EtD</w:t>
      </w:r>
      <w:proofErr w:type="spellEnd"/>
      <w:r w:rsidRPr="00646746">
        <w:rPr>
          <w:rFonts w:ascii="Gotham Book" w:hAnsi="Gotham Book" w:cstheme="minorHAnsi"/>
        </w:rPr>
        <w:t xml:space="preserve"> judgments. Note that the importance of </w:t>
      </w:r>
      <w:proofErr w:type="spellStart"/>
      <w:r w:rsidRPr="00646746">
        <w:rPr>
          <w:rFonts w:ascii="Gotham Book" w:hAnsi="Gotham Book" w:cstheme="minorHAnsi"/>
        </w:rPr>
        <w:t>EtD</w:t>
      </w:r>
      <w:proofErr w:type="spellEnd"/>
      <w:r w:rsidRPr="00646746">
        <w:rPr>
          <w:rFonts w:ascii="Gotham Book" w:hAnsi="Gotham Book" w:cstheme="minorHAnsi"/>
        </w:rPr>
        <w:t xml:space="preserve"> criteria may vary across recommendations.</w:t>
      </w:r>
    </w:p>
    <w:p w14:paraId="346D5576" w14:textId="77777777" w:rsidR="00577A40" w:rsidRPr="00646746" w:rsidRDefault="00577A40" w:rsidP="00577A40">
      <w:pPr>
        <w:rPr>
          <w:rFonts w:ascii="Gotham Book" w:hAnsi="Gotham Book" w:cstheme="minorHAnsi"/>
        </w:rPr>
      </w:pPr>
      <w:r w:rsidRPr="00646746">
        <w:rPr>
          <w:rFonts w:ascii="Gotham Book" w:hAnsi="Gotham Book" w:cstheme="minorHAnsi"/>
        </w:rPr>
        <w:t xml:space="preserve">Typically, the GDG will vote on the direction and strength of a recommendation, although some groups use more informal approaches to reach consensus. Voting may be anonymous or non-anonymous. As with </w:t>
      </w:r>
      <w:proofErr w:type="spellStart"/>
      <w:r w:rsidRPr="00646746">
        <w:rPr>
          <w:rFonts w:ascii="Gotham Book" w:hAnsi="Gotham Book" w:cstheme="minorHAnsi"/>
        </w:rPr>
        <w:t>EtD</w:t>
      </w:r>
      <w:proofErr w:type="spellEnd"/>
      <w:r w:rsidRPr="00646746">
        <w:rPr>
          <w:rFonts w:ascii="Gotham Book" w:hAnsi="Gotham Book" w:cstheme="minorHAnsi"/>
        </w:rPr>
        <w:t xml:space="preserve"> decisions, a recommendation may be proposed by the technical team or a subgroup of the GDG and the GDG’s agreement with the proposal sought. </w:t>
      </w:r>
    </w:p>
    <w:p w14:paraId="0B68300D" w14:textId="69A489F3" w:rsidR="0004662F" w:rsidRPr="00646746" w:rsidRDefault="00577A40" w:rsidP="00577A40">
      <w:pPr>
        <w:rPr>
          <w:rFonts w:ascii="Gotham Book" w:hAnsi="Gotham Book" w:cstheme="minorHAnsi"/>
        </w:rPr>
      </w:pPr>
      <w:r w:rsidRPr="00646746">
        <w:rPr>
          <w:rFonts w:ascii="Gotham Book" w:hAnsi="Gotham Book" w:cstheme="minorHAnsi"/>
        </w:rPr>
        <w:t>Irrespective of whether voting is used, recommendations should be made through consensus decision-making whereby the aim is to achieve consent from all members</w:t>
      </w:r>
      <w:r w:rsidR="004E1776" w:rsidRPr="004E1776">
        <w:rPr>
          <w:rFonts w:ascii="Gotham Book" w:hAnsi="Gotham Book" w:cstheme="minorHAnsi"/>
          <w:vertAlign w:val="superscript"/>
        </w:rPr>
        <w:t>31</w:t>
      </w:r>
      <w:r w:rsidR="004E1776">
        <w:rPr>
          <w:rFonts w:ascii="Gotham Book" w:hAnsi="Gotham Book" w:cstheme="minorHAnsi"/>
        </w:rPr>
        <w:t>.</w:t>
      </w:r>
      <w:r w:rsidRPr="00646746">
        <w:rPr>
          <w:rFonts w:ascii="Gotham Book" w:hAnsi="Gotham Book" w:cstheme="minorHAnsi"/>
        </w:rPr>
        <w:t xml:space="preserve"> It is not a requirement in GRADE or the NHMRC standards to achieve 100% agreement on a recommendation; however, the proportion who disagree should be recorded alongside reasons for the opposing views. What counts as consensus should be predefined (e.g. unanimity, supermajority based on a specified decision threshold, simply majority). Using decision thresholds for consensus rather than seeking unanimity may enable the GDG to better reflect the diversity of views. The WHO handbook provides a more detailed critique of decision-making methods and decision-rules for reaching consensus</w:t>
      </w:r>
      <w:r w:rsidR="004E1776" w:rsidRPr="004E1776">
        <w:rPr>
          <w:rFonts w:ascii="Gotham Book" w:hAnsi="Gotham Book" w:cstheme="minorHAnsi"/>
          <w:vertAlign w:val="superscript"/>
        </w:rPr>
        <w:t>31</w:t>
      </w:r>
      <w:r w:rsidR="004E1776">
        <w:rPr>
          <w:rFonts w:ascii="Gotham Book" w:hAnsi="Gotham Book" w:cstheme="minorHAnsi"/>
        </w:rPr>
        <w:t>.</w:t>
      </w:r>
    </w:p>
    <w:p w14:paraId="755BFC88" w14:textId="77777777" w:rsidR="006718AF" w:rsidRPr="00646746" w:rsidRDefault="006718AF" w:rsidP="002632EC">
      <w:pPr>
        <w:pStyle w:val="Heading4"/>
      </w:pPr>
      <w:r w:rsidRPr="00646746">
        <w:t xml:space="preserve">Decide on the process for writing recommendations </w:t>
      </w:r>
    </w:p>
    <w:p w14:paraId="161AFFCC" w14:textId="77777777" w:rsidR="006718AF" w:rsidRPr="00646746" w:rsidRDefault="006718AF" w:rsidP="006718AF">
      <w:pPr>
        <w:rPr>
          <w:rFonts w:ascii="Gotham Book" w:hAnsi="Gotham Book" w:cstheme="minorHAnsi"/>
        </w:rPr>
      </w:pPr>
      <w:r w:rsidRPr="00646746">
        <w:rPr>
          <w:rFonts w:ascii="Gotham Book" w:hAnsi="Gotham Book" w:cstheme="minorHAnsi"/>
        </w:rPr>
        <w:t xml:space="preserve">As with the preceding steps, it is sensible to decide who will draft the recommendation, and whether this will be done ahead of, during or after the guideline meeting. Some groups prefer not to pre-empt the GDG decision on a recommendation, whereas others find that providing a draft recommendation can help the panel reach consensus on direction and strength, particularly for more borderline decisions. The precise wording of recommendations may need to be developed and agreed after the meeting. </w:t>
      </w:r>
    </w:p>
    <w:p w14:paraId="473EFF64" w14:textId="1F4FCF8B" w:rsidR="00065872" w:rsidRPr="004C6A1B" w:rsidRDefault="006718AF" w:rsidP="004C6A1B">
      <w:pPr>
        <w:rPr>
          <w:rFonts w:ascii="Gotham Book" w:hAnsi="Gotham Book" w:cstheme="minorHAnsi"/>
        </w:rPr>
      </w:pPr>
      <w:r w:rsidRPr="00646746">
        <w:rPr>
          <w:rFonts w:ascii="Gotham Book" w:hAnsi="Gotham Book" w:cstheme="minorHAnsi"/>
        </w:rPr>
        <w:t xml:space="preserve">In addition to the recommendation (i.e. the actionable statement), health professionals and others will need practical information to apply the recommendation (see for example the ‘practical information’ tab in </w:t>
      </w:r>
      <w:r w:rsidR="00220D58">
        <w:rPr>
          <w:rFonts w:ascii="Gotham Book" w:hAnsi="Gotham Book" w:cstheme="minorHAnsi"/>
        </w:rPr>
        <w:t>a</w:t>
      </w:r>
      <w:r w:rsidRPr="00646746">
        <w:rPr>
          <w:rFonts w:ascii="Gotham Book" w:hAnsi="Gotham Book" w:cstheme="minorHAnsi"/>
        </w:rPr>
        <w:t xml:space="preserve"> </w:t>
      </w:r>
      <w:hyperlink r:id="rId21" w:anchor="/guideline/LqRV3n/section/Lrp8OE" w:history="1">
        <w:r w:rsidRPr="00646746">
          <w:rPr>
            <w:rStyle w:val="Hyperlink"/>
            <w:rFonts w:ascii="Gotham Book" w:hAnsi="Gotham Book" w:cstheme="minorHAnsi"/>
          </w:rPr>
          <w:t xml:space="preserve"> </w:t>
        </w:r>
        <w:r w:rsidRPr="00646746">
          <w:rPr>
            <w:rStyle w:val="Hyperlink"/>
            <w:rFonts w:ascii="Gotham Book" w:hAnsi="Gotham Book" w:cstheme="minorHAnsi"/>
          </w:rPr>
          <w:lastRenderedPageBreak/>
          <w:t>recommendation on the use of opioids for pain in rheumatoid arthritis</w:t>
        </w:r>
      </w:hyperlink>
      <w:r w:rsidRPr="00646746">
        <w:rPr>
          <w:rFonts w:ascii="Gotham Book" w:hAnsi="Gotham Book" w:cstheme="minorHAnsi"/>
        </w:rPr>
        <w:t>). Discussions at the meeting can inform the content of this practical information, so it may be helpful to plan for how this can be addressed at meetings.</w:t>
      </w:r>
    </w:p>
    <w:p w14:paraId="77187AF5" w14:textId="6D173B92" w:rsidR="00DB5397" w:rsidRPr="004C6A1B" w:rsidRDefault="00F23F9C" w:rsidP="004C6A1B">
      <w:pPr>
        <w:pStyle w:val="Heading2"/>
      </w:pPr>
      <w:bookmarkStart w:id="13" w:name="_Toc184284426"/>
      <w:r w:rsidRPr="004C6A1B">
        <w:t xml:space="preserve">Draft content for the </w:t>
      </w:r>
      <w:proofErr w:type="spellStart"/>
      <w:r w:rsidRPr="004C6A1B">
        <w:t>EtD</w:t>
      </w:r>
      <w:proofErr w:type="spellEnd"/>
      <w:r w:rsidRPr="004C6A1B">
        <w:t xml:space="preserve"> framework(</w:t>
      </w:r>
      <w:r w:rsidR="00561C41">
        <w:t>s</w:t>
      </w:r>
      <w:r w:rsidRPr="004C6A1B">
        <w:t>) with a summary of evidence for each question</w:t>
      </w:r>
      <w:bookmarkEnd w:id="13"/>
    </w:p>
    <w:p w14:paraId="2DB9D77E" w14:textId="16B28B32" w:rsidR="006718AF" w:rsidRPr="00646746" w:rsidRDefault="00CA14D0" w:rsidP="006718AF">
      <w:pPr>
        <w:rPr>
          <w:rFonts w:ascii="Gotham Book" w:hAnsi="Gotham Book" w:cs="Calibri"/>
          <w:color w:val="000000"/>
        </w:rPr>
      </w:pPr>
      <w:r w:rsidRPr="00646746">
        <w:rPr>
          <w:rFonts w:ascii="Gotham Book" w:hAnsi="Gotham Book" w:cs="Calibri"/>
          <w:color w:val="000000"/>
        </w:rPr>
        <w:t xml:space="preserve">At this stage of guideline development, the </w:t>
      </w:r>
      <w:proofErr w:type="spellStart"/>
      <w:r w:rsidRPr="00646746">
        <w:rPr>
          <w:rFonts w:ascii="Gotham Book" w:hAnsi="Gotham Book" w:cs="Calibri"/>
          <w:color w:val="000000"/>
        </w:rPr>
        <w:t>EtD</w:t>
      </w:r>
      <w:proofErr w:type="spellEnd"/>
      <w:r w:rsidRPr="00646746">
        <w:rPr>
          <w:rFonts w:ascii="Gotham Book" w:hAnsi="Gotham Book" w:cs="Calibri"/>
          <w:color w:val="000000"/>
        </w:rPr>
        <w:t xml:space="preserve"> framework is a working document intended to inform and capture panel discussions and decision-making. The draft </w:t>
      </w:r>
      <w:proofErr w:type="spellStart"/>
      <w:r w:rsidRPr="00646746">
        <w:rPr>
          <w:rFonts w:ascii="Gotham Book" w:hAnsi="Gotham Book" w:cs="Calibri"/>
          <w:color w:val="000000"/>
        </w:rPr>
        <w:t>EtD</w:t>
      </w:r>
      <w:proofErr w:type="spellEnd"/>
      <w:r w:rsidRPr="00646746">
        <w:rPr>
          <w:rFonts w:ascii="Gotham Book" w:hAnsi="Gotham Book" w:cs="Calibri"/>
          <w:color w:val="000000"/>
        </w:rPr>
        <w:t xml:space="preserve"> framework should include a brief summary of research evidence and additional information for the GDG to consider. It may also include questions (or prompts) to elicit the GDG perspectives and experience during the GDG meeting</w:t>
      </w:r>
      <w:r w:rsidR="00E30893">
        <w:rPr>
          <w:rFonts w:ascii="Gotham Book" w:hAnsi="Gotham Book" w:cs="Calibri"/>
          <w:color w:val="000000"/>
          <w:vertAlign w:val="superscript"/>
        </w:rPr>
        <w:t>14</w:t>
      </w:r>
      <w:r w:rsidR="001F33B5">
        <w:rPr>
          <w:rFonts w:ascii="Gotham Book" w:hAnsi="Gotham Book" w:cs="Calibri"/>
          <w:color w:val="000000"/>
        </w:rPr>
        <w:t>.</w:t>
      </w:r>
      <w:r w:rsidRPr="00646746">
        <w:rPr>
          <w:rFonts w:ascii="Gotham Book" w:hAnsi="Gotham Book" w:cs="Calibri"/>
          <w:color w:val="000000"/>
        </w:rPr>
        <w:t xml:space="preserve"> </w:t>
      </w:r>
    </w:p>
    <w:p w14:paraId="3115DB55" w14:textId="77777777" w:rsidR="003C65C1" w:rsidRPr="00646746" w:rsidRDefault="003C65C1" w:rsidP="00640402">
      <w:pPr>
        <w:pStyle w:val="Heading4"/>
        <w:rPr>
          <w:i/>
          <w:color w:val="365F91" w:themeColor="accent1" w:themeShade="BF"/>
        </w:rPr>
      </w:pPr>
      <w:r w:rsidRPr="00646746">
        <w:t xml:space="preserve">Prepare a summary of findings for each question addressed by systematic review, reporting certainty of the evidence for critical and important outcomes </w:t>
      </w:r>
    </w:p>
    <w:p w14:paraId="1CD05362" w14:textId="429842A3" w:rsidR="003C65C1" w:rsidRPr="00646746" w:rsidRDefault="00780153" w:rsidP="006718AF">
      <w:pPr>
        <w:rPr>
          <w:rFonts w:ascii="Gotham Book" w:hAnsi="Gotham Book" w:cstheme="minorHAnsi"/>
        </w:rPr>
      </w:pPr>
      <w:r w:rsidRPr="00646746">
        <w:rPr>
          <w:rFonts w:ascii="Gotham Book" w:hAnsi="Gotham Book" w:cstheme="minorHAnsi"/>
        </w:rPr>
        <w:t xml:space="preserve">Standard tables are available in </w:t>
      </w:r>
      <w:proofErr w:type="spellStart"/>
      <w:r w:rsidRPr="00646746">
        <w:rPr>
          <w:rFonts w:ascii="Gotham Book" w:hAnsi="Gotham Book" w:cstheme="minorHAnsi"/>
        </w:rPr>
        <w:t>M</w:t>
      </w:r>
      <w:r w:rsidR="00D53971" w:rsidRPr="00646746">
        <w:rPr>
          <w:rFonts w:ascii="Gotham Book" w:hAnsi="Gotham Book" w:cstheme="minorHAnsi"/>
        </w:rPr>
        <w:t>AGICa</w:t>
      </w:r>
      <w:r w:rsidRPr="00646746">
        <w:rPr>
          <w:rFonts w:ascii="Gotham Book" w:hAnsi="Gotham Book" w:cstheme="minorHAnsi"/>
        </w:rPr>
        <w:t>pp</w:t>
      </w:r>
      <w:proofErr w:type="spellEnd"/>
      <w:r w:rsidRPr="00646746">
        <w:rPr>
          <w:rFonts w:ascii="Gotham Book" w:hAnsi="Gotham Book" w:cstheme="minorHAnsi"/>
        </w:rPr>
        <w:t xml:space="preserve"> and </w:t>
      </w:r>
      <w:proofErr w:type="spellStart"/>
      <w:r w:rsidRPr="00646746">
        <w:rPr>
          <w:rFonts w:ascii="Gotham Book" w:hAnsi="Gotham Book" w:cstheme="minorHAnsi"/>
        </w:rPr>
        <w:t>GRADEpro</w:t>
      </w:r>
      <w:proofErr w:type="spellEnd"/>
      <w:r w:rsidRPr="00646746">
        <w:rPr>
          <w:rFonts w:ascii="Gotham Book" w:hAnsi="Gotham Book" w:cstheme="minorHAnsi"/>
        </w:rPr>
        <w:t xml:space="preserve"> for summarising findings from systematic reviews of intervention effects. These concise, structured summaries (or ‘evidence profiles’) are designed to support decision-making at GDG meetings. The results in the evidence profile can be briefly presented at a GDG meeting, with the aim of reaching agreement on the interpretation of the effects of the intervention on each outcome.</w:t>
      </w:r>
    </w:p>
    <w:p w14:paraId="123DD071" w14:textId="034A6080" w:rsidR="00780153" w:rsidRPr="00646746" w:rsidRDefault="00780153" w:rsidP="006718AF">
      <w:pPr>
        <w:rPr>
          <w:rFonts w:ascii="Gotham Book" w:hAnsi="Gotham Book" w:cstheme="minorHAnsi"/>
          <w:color w:val="000000"/>
        </w:rPr>
      </w:pPr>
      <w:r w:rsidRPr="00646746">
        <w:rPr>
          <w:rFonts w:ascii="Gotham Book" w:hAnsi="Gotham Book" w:cstheme="minorHAnsi"/>
          <w:color w:val="000000"/>
        </w:rPr>
        <w:t xml:space="preserve">The evidence profile should include results for all outcomes agreed as critical and important for making the recommendation, irrespective of whether evidence was found. A GRADE plain language statement can be used to interpret each result (implemented in </w:t>
      </w:r>
      <w:proofErr w:type="spellStart"/>
      <w:r w:rsidR="009A573F" w:rsidRPr="00646746">
        <w:rPr>
          <w:rFonts w:ascii="Gotham Book" w:hAnsi="Gotham Book" w:cstheme="minorHAnsi"/>
          <w:color w:val="000000"/>
        </w:rPr>
        <w:t>MAGICapp</w:t>
      </w:r>
      <w:proofErr w:type="spellEnd"/>
      <w:r w:rsidR="009A573F" w:rsidRPr="00646746">
        <w:rPr>
          <w:rFonts w:ascii="Gotham Book" w:hAnsi="Gotham Book" w:cstheme="minorHAnsi"/>
          <w:color w:val="000000"/>
        </w:rPr>
        <w:t xml:space="preserve"> </w:t>
      </w:r>
      <w:r w:rsidRPr="00646746">
        <w:rPr>
          <w:rFonts w:ascii="Gotham Book" w:hAnsi="Gotham Book" w:cstheme="minorHAnsi"/>
          <w:color w:val="000000"/>
        </w:rPr>
        <w:t xml:space="preserve">and </w:t>
      </w:r>
      <w:proofErr w:type="spellStart"/>
      <w:r w:rsidRPr="00646746">
        <w:rPr>
          <w:rFonts w:ascii="Gotham Book" w:hAnsi="Gotham Book" w:cstheme="minorHAnsi"/>
          <w:color w:val="000000"/>
        </w:rPr>
        <w:t>GRADEpro</w:t>
      </w:r>
      <w:proofErr w:type="spellEnd"/>
      <w:r w:rsidRPr="00646746">
        <w:rPr>
          <w:rFonts w:ascii="Gotham Book" w:hAnsi="Gotham Book" w:cstheme="minorHAnsi"/>
          <w:color w:val="000000"/>
        </w:rPr>
        <w:t>)</w:t>
      </w:r>
      <w:r w:rsidR="004E1776" w:rsidRPr="004E1776">
        <w:rPr>
          <w:rFonts w:ascii="Gotham Book" w:hAnsi="Gotham Book" w:cstheme="minorHAnsi"/>
          <w:color w:val="000000"/>
          <w:vertAlign w:val="superscript"/>
        </w:rPr>
        <w:t>32</w:t>
      </w:r>
      <w:r w:rsidR="004E1776">
        <w:rPr>
          <w:rFonts w:ascii="Gotham Book" w:hAnsi="Gotham Book" w:cstheme="minorHAnsi"/>
          <w:color w:val="000000"/>
        </w:rPr>
        <w:t>.</w:t>
      </w:r>
      <w:r w:rsidR="0061579D">
        <w:rPr>
          <w:rFonts w:ascii="Gotham Book" w:hAnsi="Gotham Book" w:cstheme="minorHAnsi"/>
          <w:color w:val="000000"/>
        </w:rPr>
        <w:t xml:space="preserve"> The </w:t>
      </w:r>
      <w:r w:rsidRPr="00646746">
        <w:rPr>
          <w:rFonts w:ascii="Gotham Book" w:hAnsi="Gotham Book" w:cstheme="minorHAnsi"/>
          <w:color w:val="000000"/>
        </w:rPr>
        <w:t xml:space="preserve">statements provide standardised phrasing to describe the effect on the outcome (beneficial or harmful), the size of the effect (e.g. large enough to be of importance to patients or not), and how certain the evidence is (e.g. “Perioperative discontinuation of DMARDs may increase the risk of flare”). Using these phrases helps the GDG agree on and communicate their interpretation of findings. Details on how to prepare an evidence profile are in the module on </w:t>
      </w:r>
      <w:hyperlink r:id="rId22" w:history="1">
        <w:r w:rsidRPr="00646746">
          <w:rPr>
            <w:rStyle w:val="Hyperlink"/>
            <w:rFonts w:ascii="Gotham Book" w:hAnsi="Gotham Book" w:cstheme="minorHAnsi"/>
          </w:rPr>
          <w:t>Assessing certainty of evidence</w:t>
        </w:r>
      </w:hyperlink>
      <w:r w:rsidRPr="00646746">
        <w:rPr>
          <w:rFonts w:ascii="Gotham Book" w:hAnsi="Gotham Book" w:cstheme="minorHAnsi"/>
          <w:color w:val="000000"/>
        </w:rPr>
        <w:t xml:space="preserve">. For an example, see the ‘research evidence’ tab for </w:t>
      </w:r>
      <w:hyperlink r:id="rId23" w:anchor="/guideline/jMMeqj/section/j1JlXL" w:history="1">
        <w:r w:rsidRPr="00646746">
          <w:rPr>
            <w:rStyle w:val="Hyperlink"/>
            <w:rFonts w:ascii="Gotham Book" w:hAnsi="Gotham Book" w:cstheme="minorHAnsi"/>
          </w:rPr>
          <w:t>recommendations on second generation antipsychotics for people living with dementia</w:t>
        </w:r>
      </w:hyperlink>
      <w:r w:rsidRPr="00646746">
        <w:rPr>
          <w:rFonts w:ascii="Gotham Book" w:hAnsi="Gotham Book" w:cstheme="minorHAnsi"/>
          <w:color w:val="000000"/>
        </w:rPr>
        <w:t>.</w:t>
      </w:r>
    </w:p>
    <w:p w14:paraId="53569EC7" w14:textId="6B559CB2" w:rsidR="00780153" w:rsidRPr="00646746" w:rsidRDefault="00780153" w:rsidP="006718AF">
      <w:pPr>
        <w:rPr>
          <w:rFonts w:ascii="Gotham Book" w:hAnsi="Gotham Book" w:cstheme="minorHAnsi"/>
          <w:color w:val="000000"/>
        </w:rPr>
      </w:pPr>
      <w:r w:rsidRPr="00646746">
        <w:rPr>
          <w:rFonts w:ascii="Gotham Book" w:hAnsi="Gotham Book" w:cstheme="minorHAnsi"/>
          <w:color w:val="000000"/>
        </w:rPr>
        <w:t xml:space="preserve">The </w:t>
      </w:r>
      <w:proofErr w:type="spellStart"/>
      <w:r w:rsidRPr="00646746">
        <w:rPr>
          <w:rFonts w:ascii="Gotham Book" w:hAnsi="Gotham Book" w:cstheme="minorHAnsi"/>
          <w:color w:val="000000"/>
        </w:rPr>
        <w:t>EtD</w:t>
      </w:r>
      <w:proofErr w:type="spellEnd"/>
      <w:r w:rsidRPr="00646746">
        <w:rPr>
          <w:rFonts w:ascii="Gotham Book" w:hAnsi="Gotham Book" w:cstheme="minorHAnsi"/>
          <w:color w:val="000000"/>
        </w:rPr>
        <w:t xml:space="preserve"> framework includes a section for summarising the desirable (beneficial) and undesirable (harmful) effects. This section should address the outcomes presented in the evidence profile, but can also include additional considerations. A version of the evidence profile can be inserted into the </w:t>
      </w:r>
      <w:proofErr w:type="spellStart"/>
      <w:r w:rsidRPr="00646746">
        <w:rPr>
          <w:rFonts w:ascii="Gotham Book" w:hAnsi="Gotham Book" w:cstheme="minorHAnsi"/>
          <w:color w:val="000000"/>
        </w:rPr>
        <w:t>EtD</w:t>
      </w:r>
      <w:proofErr w:type="spellEnd"/>
      <w:r w:rsidRPr="00646746">
        <w:rPr>
          <w:rFonts w:ascii="Gotham Book" w:hAnsi="Gotham Book" w:cstheme="minorHAnsi"/>
          <w:color w:val="000000"/>
        </w:rPr>
        <w:t xml:space="preserve"> (an option in </w:t>
      </w:r>
      <w:proofErr w:type="spellStart"/>
      <w:r w:rsidRPr="00646746">
        <w:rPr>
          <w:rFonts w:ascii="Gotham Book" w:hAnsi="Gotham Book" w:cstheme="minorHAnsi"/>
          <w:color w:val="000000"/>
        </w:rPr>
        <w:t>GRADEpro</w:t>
      </w:r>
      <w:proofErr w:type="spellEnd"/>
      <w:r w:rsidRPr="00646746">
        <w:rPr>
          <w:rFonts w:ascii="Gotham Book" w:hAnsi="Gotham Book" w:cstheme="minorHAnsi"/>
          <w:color w:val="000000"/>
        </w:rPr>
        <w:t xml:space="preserve"> or word formats). Alternatively, the </w:t>
      </w:r>
      <w:proofErr w:type="spellStart"/>
      <w:r w:rsidRPr="00646746">
        <w:rPr>
          <w:rFonts w:ascii="Gotham Book" w:hAnsi="Gotham Book" w:cstheme="minorHAnsi"/>
          <w:color w:val="000000"/>
        </w:rPr>
        <w:t>EtD</w:t>
      </w:r>
      <w:proofErr w:type="spellEnd"/>
      <w:r w:rsidRPr="00646746">
        <w:rPr>
          <w:rFonts w:ascii="Gotham Book" w:hAnsi="Gotham Book" w:cstheme="minorHAnsi"/>
          <w:color w:val="000000"/>
        </w:rPr>
        <w:t xml:space="preserve"> summary may be based on </w:t>
      </w:r>
      <w:r w:rsidRPr="00646746">
        <w:rPr>
          <w:rFonts w:ascii="Gotham Book" w:hAnsi="Gotham Book" w:cstheme="minorHAnsi"/>
          <w:color w:val="000000"/>
        </w:rPr>
        <w:lastRenderedPageBreak/>
        <w:t xml:space="preserve">the plain language interpretation of each result (see </w:t>
      </w:r>
      <w:r w:rsidRPr="00C33264">
        <w:rPr>
          <w:rFonts w:ascii="Gotham Book" w:hAnsi="Gotham Book" w:cstheme="minorHAnsi"/>
          <w:color w:val="000000"/>
          <w:u w:val="single"/>
        </w:rPr>
        <w:t xml:space="preserve">Box </w:t>
      </w:r>
      <w:r w:rsidR="00FF3464" w:rsidRPr="00C33264">
        <w:rPr>
          <w:rFonts w:ascii="Gotham Book" w:hAnsi="Gotham Book" w:cstheme="minorHAnsi"/>
          <w:color w:val="000000"/>
          <w:u w:val="single"/>
        </w:rPr>
        <w:t>2</w:t>
      </w:r>
      <w:r w:rsidRPr="00646746">
        <w:rPr>
          <w:rFonts w:ascii="Gotham Book" w:hAnsi="Gotham Book" w:cstheme="minorHAnsi"/>
          <w:color w:val="000000"/>
        </w:rPr>
        <w:t>). This latter approach may help the GDG make their judgement about how substantial the overall desirable and undesirable effects are (i.e. trivial, small, moderate, large) if they have previously agreed on thresholds for interpreting the effect estimates and assessing certainty of the evidence. Ideally, thresholds will have been agreed after rating the importance of outcomes but before reviewing evidence</w:t>
      </w:r>
      <w:r w:rsidR="0061579D" w:rsidRPr="0061579D">
        <w:rPr>
          <w:rFonts w:ascii="Gotham Book" w:hAnsi="Gotham Book" w:cstheme="minorHAnsi"/>
          <w:color w:val="000000"/>
          <w:vertAlign w:val="superscript"/>
        </w:rPr>
        <w:t>33</w:t>
      </w:r>
      <w:r w:rsidR="0061579D">
        <w:rPr>
          <w:rFonts w:ascii="Gotham Book" w:hAnsi="Gotham Book" w:cstheme="minorHAnsi"/>
          <w:color w:val="000000"/>
        </w:rPr>
        <w:t xml:space="preserve">. </w:t>
      </w:r>
      <w:r w:rsidRPr="00646746">
        <w:rPr>
          <w:rFonts w:ascii="Gotham Book" w:hAnsi="Gotham Book" w:cstheme="minorHAnsi"/>
          <w:color w:val="000000"/>
        </w:rPr>
        <w:t>The overall certainty of evidence is reported separately in the evidence profile.</w:t>
      </w:r>
    </w:p>
    <w:p w14:paraId="6CF791F5" w14:textId="3570D34E" w:rsidR="00780153" w:rsidRPr="00640402" w:rsidRDefault="00780153" w:rsidP="006718AF">
      <w:pPr>
        <w:rPr>
          <w:rFonts w:ascii="Gotham Book" w:hAnsi="Gotham Book" w:cs="Calibri"/>
          <w:b/>
          <w:color w:val="000000"/>
          <w:sz w:val="23"/>
          <w:szCs w:val="23"/>
        </w:rPr>
      </w:pPr>
      <w:r w:rsidRPr="00640402">
        <w:rPr>
          <w:rFonts w:ascii="Gotham Book" w:hAnsi="Gotham Book" w:cs="Calibri"/>
          <w:b/>
          <w:color w:val="000000"/>
          <w:sz w:val="23"/>
          <w:szCs w:val="23"/>
        </w:rPr>
        <w:t xml:space="preserve">Box </w:t>
      </w:r>
      <w:r w:rsidR="00FF3464" w:rsidRPr="00640402">
        <w:rPr>
          <w:rFonts w:ascii="Gotham Book" w:hAnsi="Gotham Book" w:cs="Calibri"/>
          <w:b/>
          <w:bCs/>
          <w:color w:val="000000"/>
          <w:sz w:val="23"/>
          <w:szCs w:val="23"/>
        </w:rPr>
        <w:t>2</w:t>
      </w:r>
      <w:r w:rsidRPr="00640402">
        <w:rPr>
          <w:rFonts w:ascii="Gotham Book" w:hAnsi="Gotham Book" w:cs="Calibri"/>
          <w:b/>
          <w:color w:val="000000"/>
          <w:sz w:val="23"/>
          <w:szCs w:val="23"/>
        </w:rPr>
        <w:t xml:space="preserve">. Example summary of beneficial and harmful effects in the </w:t>
      </w:r>
      <w:proofErr w:type="spellStart"/>
      <w:r w:rsidRPr="00640402">
        <w:rPr>
          <w:rFonts w:ascii="Gotham Book" w:hAnsi="Gotham Book" w:cs="Calibri"/>
          <w:b/>
          <w:color w:val="000000"/>
          <w:sz w:val="23"/>
          <w:szCs w:val="23"/>
        </w:rPr>
        <w:t>EtD</w:t>
      </w:r>
      <w:proofErr w:type="spellEnd"/>
      <w:r w:rsidRPr="00640402">
        <w:rPr>
          <w:rFonts w:ascii="Gotham Book" w:hAnsi="Gotham Book" w:cs="Calibri"/>
          <w:b/>
          <w:color w:val="000000"/>
          <w:sz w:val="23"/>
          <w:szCs w:val="23"/>
        </w:rPr>
        <w:t xml:space="preserve"> based on the evidence profile</w:t>
      </w:r>
    </w:p>
    <w:tbl>
      <w:tblPr>
        <w:tblStyle w:val="TableGrid"/>
        <w:tblW w:w="0" w:type="auto"/>
        <w:tblLook w:val="04A0" w:firstRow="1" w:lastRow="0" w:firstColumn="1" w:lastColumn="0" w:noHBand="0" w:noVBand="1"/>
      </w:tblPr>
      <w:tblGrid>
        <w:gridCol w:w="9016"/>
      </w:tblGrid>
      <w:tr w:rsidR="00780153" w:rsidRPr="00C66AFF" w14:paraId="159DACA2" w14:textId="77777777" w:rsidTr="00780153">
        <w:tc>
          <w:tcPr>
            <w:tcW w:w="9016" w:type="dxa"/>
          </w:tcPr>
          <w:p w14:paraId="25915180" w14:textId="77777777" w:rsidR="00C71F9C" w:rsidRPr="00646746" w:rsidRDefault="00C71F9C" w:rsidP="00C71F9C">
            <w:pPr>
              <w:pStyle w:val="Default"/>
              <w:rPr>
                <w:rFonts w:ascii="Gotham Book" w:hAnsi="Gotham Book" w:cstheme="minorHAnsi"/>
                <w:b/>
                <w:sz w:val="22"/>
                <w:szCs w:val="22"/>
              </w:rPr>
            </w:pPr>
            <w:r w:rsidRPr="00646746">
              <w:rPr>
                <w:rFonts w:ascii="Gotham Book" w:hAnsi="Gotham Book" w:cstheme="minorHAnsi"/>
                <w:b/>
                <w:sz w:val="22"/>
                <w:szCs w:val="22"/>
              </w:rPr>
              <w:t xml:space="preserve">Desirable (beneficial) effects with treatment X compared to usual care (up to 6 weeks) </w:t>
            </w:r>
          </w:p>
          <w:p w14:paraId="52F0563E" w14:textId="002F3DAF" w:rsidR="00C71F9C" w:rsidRPr="00646746" w:rsidRDefault="00C71F9C" w:rsidP="000E0050">
            <w:pPr>
              <w:pStyle w:val="Default"/>
              <w:numPr>
                <w:ilvl w:val="0"/>
                <w:numId w:val="22"/>
              </w:numPr>
              <w:rPr>
                <w:rFonts w:ascii="Gotham Book" w:hAnsi="Gotham Book" w:cstheme="minorHAnsi"/>
                <w:sz w:val="22"/>
                <w:szCs w:val="22"/>
              </w:rPr>
            </w:pPr>
            <w:r w:rsidRPr="00646746">
              <w:rPr>
                <w:rFonts w:ascii="Gotham Book" w:hAnsi="Gotham Book" w:cstheme="minorHAnsi"/>
                <w:sz w:val="22"/>
                <w:szCs w:val="22"/>
              </w:rPr>
              <w:t xml:space="preserve">moderate improvement in pain </w:t>
            </w:r>
          </w:p>
          <w:p w14:paraId="692971F2" w14:textId="2F5E1D78" w:rsidR="00C71F9C" w:rsidRPr="00646746" w:rsidRDefault="00C71F9C" w:rsidP="000E0050">
            <w:pPr>
              <w:pStyle w:val="Default"/>
              <w:numPr>
                <w:ilvl w:val="0"/>
                <w:numId w:val="22"/>
              </w:numPr>
              <w:rPr>
                <w:rFonts w:ascii="Gotham Book" w:hAnsi="Gotham Book" w:cstheme="minorHAnsi"/>
                <w:sz w:val="22"/>
                <w:szCs w:val="22"/>
              </w:rPr>
            </w:pPr>
            <w:r w:rsidRPr="00646746">
              <w:rPr>
                <w:rFonts w:ascii="Gotham Book" w:hAnsi="Gotham Book" w:cstheme="minorHAnsi"/>
                <w:sz w:val="22"/>
                <w:szCs w:val="22"/>
              </w:rPr>
              <w:t xml:space="preserve">small but important increase in the proportion of people who report treatment success </w:t>
            </w:r>
          </w:p>
          <w:p w14:paraId="7605408E" w14:textId="489D6117" w:rsidR="00C71F9C" w:rsidRPr="00646746" w:rsidRDefault="00C71F9C" w:rsidP="000E0050">
            <w:pPr>
              <w:pStyle w:val="Default"/>
              <w:numPr>
                <w:ilvl w:val="0"/>
                <w:numId w:val="22"/>
              </w:numPr>
              <w:rPr>
                <w:rFonts w:ascii="Gotham Book" w:hAnsi="Gotham Book" w:cstheme="minorHAnsi"/>
                <w:sz w:val="22"/>
                <w:szCs w:val="22"/>
              </w:rPr>
            </w:pPr>
            <w:r w:rsidRPr="00646746">
              <w:rPr>
                <w:rFonts w:ascii="Gotham Book" w:hAnsi="Gotham Book" w:cstheme="minorHAnsi"/>
                <w:sz w:val="22"/>
                <w:szCs w:val="22"/>
              </w:rPr>
              <w:t xml:space="preserve">little or no effect on function </w:t>
            </w:r>
          </w:p>
          <w:p w14:paraId="428A7A27" w14:textId="77777777" w:rsidR="00C71F9C" w:rsidRPr="00646746" w:rsidRDefault="00C71F9C" w:rsidP="00C71F9C">
            <w:pPr>
              <w:pStyle w:val="Default"/>
              <w:rPr>
                <w:rFonts w:ascii="Gotham Book" w:hAnsi="Gotham Book" w:cstheme="minorHAnsi"/>
                <w:sz w:val="22"/>
                <w:szCs w:val="22"/>
              </w:rPr>
            </w:pPr>
          </w:p>
          <w:p w14:paraId="557CF9AA" w14:textId="77777777" w:rsidR="00C71F9C" w:rsidRPr="00646746" w:rsidRDefault="00C71F9C" w:rsidP="00C71F9C">
            <w:pPr>
              <w:pStyle w:val="Default"/>
              <w:rPr>
                <w:rFonts w:ascii="Gotham Book" w:hAnsi="Gotham Book" w:cstheme="minorHAnsi"/>
                <w:b/>
                <w:sz w:val="22"/>
                <w:szCs w:val="22"/>
              </w:rPr>
            </w:pPr>
            <w:r w:rsidRPr="00646746">
              <w:rPr>
                <w:rFonts w:ascii="Gotham Book" w:hAnsi="Gotham Book" w:cstheme="minorHAnsi"/>
                <w:b/>
                <w:sz w:val="22"/>
                <w:szCs w:val="22"/>
              </w:rPr>
              <w:t xml:space="preserve">Undesirable (harmful) effects with treatment X compared to usual care (up to 6 weeks) </w:t>
            </w:r>
          </w:p>
          <w:p w14:paraId="3682E43F" w14:textId="497D79F2" w:rsidR="00C71F9C" w:rsidRPr="00646746" w:rsidRDefault="00C71F9C" w:rsidP="000E0050">
            <w:pPr>
              <w:pStyle w:val="Default"/>
              <w:numPr>
                <w:ilvl w:val="0"/>
                <w:numId w:val="22"/>
              </w:numPr>
              <w:rPr>
                <w:rFonts w:ascii="Gotham Book" w:hAnsi="Gotham Book" w:cstheme="minorHAnsi"/>
                <w:sz w:val="22"/>
                <w:szCs w:val="22"/>
              </w:rPr>
            </w:pPr>
            <w:r w:rsidRPr="00646746">
              <w:rPr>
                <w:rFonts w:ascii="Gotham Book" w:hAnsi="Gotham Book" w:cstheme="minorHAnsi"/>
                <w:sz w:val="22"/>
                <w:szCs w:val="22"/>
              </w:rPr>
              <w:t xml:space="preserve">a small but important reduction in quality of life [important] </w:t>
            </w:r>
          </w:p>
          <w:p w14:paraId="567B1788" w14:textId="6DBC04E4" w:rsidR="00C71F9C" w:rsidRPr="00646746" w:rsidRDefault="00C71F9C" w:rsidP="000E0050">
            <w:pPr>
              <w:pStyle w:val="Default"/>
              <w:numPr>
                <w:ilvl w:val="0"/>
                <w:numId w:val="22"/>
              </w:numPr>
              <w:rPr>
                <w:rFonts w:ascii="Gotham Book" w:hAnsi="Gotham Book" w:cstheme="minorHAnsi"/>
                <w:sz w:val="22"/>
                <w:szCs w:val="22"/>
              </w:rPr>
            </w:pPr>
            <w:r w:rsidRPr="00646746">
              <w:rPr>
                <w:rFonts w:ascii="Gotham Book" w:hAnsi="Gotham Book" w:cstheme="minorHAnsi"/>
                <w:sz w:val="22"/>
                <w:szCs w:val="22"/>
              </w:rPr>
              <w:t xml:space="preserve">little to no effect on the proportion of people who experience an adverse event </w:t>
            </w:r>
          </w:p>
          <w:p w14:paraId="4B42A3A8" w14:textId="61147FB5" w:rsidR="00C71F9C" w:rsidRPr="00646746" w:rsidRDefault="00C71F9C" w:rsidP="000E0050">
            <w:pPr>
              <w:pStyle w:val="Default"/>
              <w:numPr>
                <w:ilvl w:val="0"/>
                <w:numId w:val="22"/>
              </w:numPr>
              <w:rPr>
                <w:rFonts w:ascii="Gotham Book" w:hAnsi="Gotham Book" w:cstheme="minorHAnsi"/>
                <w:sz w:val="22"/>
                <w:szCs w:val="22"/>
              </w:rPr>
            </w:pPr>
            <w:r w:rsidRPr="00646746">
              <w:rPr>
                <w:rFonts w:ascii="Gotham Book" w:hAnsi="Gotham Book" w:cstheme="minorHAnsi"/>
                <w:sz w:val="22"/>
                <w:szCs w:val="22"/>
              </w:rPr>
              <w:t xml:space="preserve">uncertain effects on serious adverse effects </w:t>
            </w:r>
          </w:p>
          <w:p w14:paraId="568D4968" w14:textId="77777777" w:rsidR="00C71F9C" w:rsidRPr="00646746" w:rsidRDefault="00C71F9C" w:rsidP="00C71F9C">
            <w:pPr>
              <w:pStyle w:val="Default"/>
              <w:rPr>
                <w:rFonts w:ascii="Gotham Book" w:hAnsi="Gotham Book" w:cstheme="minorHAnsi"/>
                <w:sz w:val="22"/>
                <w:szCs w:val="22"/>
              </w:rPr>
            </w:pPr>
          </w:p>
          <w:p w14:paraId="55D2DE0E" w14:textId="2DAA19BC" w:rsidR="00780153" w:rsidRPr="00646746" w:rsidRDefault="00C71F9C" w:rsidP="00C71F9C">
            <w:pPr>
              <w:rPr>
                <w:rFonts w:ascii="Gotham Book" w:hAnsi="Gotham Book" w:cs="Calibri"/>
                <w:color w:val="000000"/>
              </w:rPr>
            </w:pPr>
            <w:r w:rsidRPr="00646746">
              <w:rPr>
                <w:rFonts w:ascii="Gotham Book" w:hAnsi="Gotham Book" w:cstheme="minorHAnsi"/>
              </w:rPr>
              <w:t>No studies reported on withdrawals from treatment due to inefficacy or adverse effects</w:t>
            </w:r>
            <w:r w:rsidRPr="00646746">
              <w:rPr>
                <w:rFonts w:ascii="Gotham Book" w:hAnsi="Gotham Book"/>
              </w:rPr>
              <w:t xml:space="preserve"> </w:t>
            </w:r>
          </w:p>
        </w:tc>
      </w:tr>
    </w:tbl>
    <w:p w14:paraId="62C99DB6" w14:textId="77777777" w:rsidR="005C05DC" w:rsidRDefault="005C05DC" w:rsidP="00493297">
      <w:pPr>
        <w:rPr>
          <w:rFonts w:ascii="Gotham Book" w:eastAsiaTheme="majorEastAsia" w:hAnsi="Gotham Book" w:cstheme="majorBidi"/>
          <w:i/>
          <w:color w:val="365F91" w:themeColor="accent1" w:themeShade="BF"/>
        </w:rPr>
      </w:pPr>
    </w:p>
    <w:p w14:paraId="2045BB41" w14:textId="77777777" w:rsidR="005C2770" w:rsidRPr="00646746" w:rsidRDefault="00934AA6" w:rsidP="005C05DC">
      <w:pPr>
        <w:pStyle w:val="Heading4"/>
        <w:rPr>
          <w:i/>
          <w:color w:val="365F91" w:themeColor="accent1" w:themeShade="BF"/>
        </w:rPr>
      </w:pPr>
      <w:r w:rsidRPr="00646746">
        <w:t xml:space="preserve">Prepare a concise summary of evidence and additional considerations for other </w:t>
      </w:r>
      <w:proofErr w:type="spellStart"/>
      <w:r w:rsidRPr="00646746">
        <w:t>EtD</w:t>
      </w:r>
      <w:proofErr w:type="spellEnd"/>
      <w:r w:rsidRPr="00646746">
        <w:t xml:space="preserve"> criteria </w:t>
      </w:r>
    </w:p>
    <w:p w14:paraId="6A71689B" w14:textId="42CD5F65" w:rsidR="00493297" w:rsidRDefault="00921190" w:rsidP="00493297">
      <w:pPr>
        <w:rPr>
          <w:rFonts w:ascii="Gotham Book" w:hAnsi="Gotham Book" w:cstheme="minorHAnsi"/>
        </w:rPr>
      </w:pPr>
      <w:r w:rsidRPr="00646746">
        <w:rPr>
          <w:rFonts w:ascii="Gotham Book" w:hAnsi="Gotham Book" w:cstheme="minorHAnsi"/>
        </w:rPr>
        <w:t xml:space="preserve">GDG groups vary in the extent to which they have evidence and additional considerations to inform other </w:t>
      </w:r>
      <w:proofErr w:type="spellStart"/>
      <w:r w:rsidRPr="00646746">
        <w:rPr>
          <w:rFonts w:ascii="Gotham Book" w:hAnsi="Gotham Book" w:cstheme="minorHAnsi"/>
        </w:rPr>
        <w:t>EtD</w:t>
      </w:r>
      <w:proofErr w:type="spellEnd"/>
      <w:r w:rsidRPr="00646746">
        <w:rPr>
          <w:rFonts w:ascii="Gotham Book" w:hAnsi="Gotham Book" w:cstheme="minorHAnsi"/>
        </w:rPr>
        <w:t xml:space="preserve"> criteria. While systematic reviews provide the best evidence for most criteria, it is common that pragmatic approaches are used. Nonetheless, </w:t>
      </w:r>
      <w:r w:rsidR="000E0050">
        <w:rPr>
          <w:rFonts w:ascii="Gotham Book" w:hAnsi="Gotham Book" w:cstheme="minorHAnsi"/>
        </w:rPr>
        <w:t>it</w:t>
      </w:r>
      <w:r w:rsidRPr="00646746">
        <w:rPr>
          <w:rFonts w:ascii="Gotham Book" w:hAnsi="Gotham Book" w:cstheme="minorHAnsi"/>
        </w:rPr>
        <w:t xml:space="preserve"> is important to summarise any information that the GDG should consider and include prompts to capture their perspectives during discussion. The summary should be designed to support decision-making at GDG meetings.</w:t>
      </w:r>
      <w:r w:rsidR="00D1170C">
        <w:rPr>
          <w:rFonts w:ascii="Gotham Book" w:hAnsi="Gotham Book" w:cstheme="minorHAnsi"/>
        </w:rPr>
        <w:t xml:space="preserve"> </w:t>
      </w:r>
    </w:p>
    <w:tbl>
      <w:tblPr>
        <w:tblStyle w:val="TableGrid"/>
        <w:tblW w:w="0" w:type="auto"/>
        <w:tblLook w:val="04A0" w:firstRow="1" w:lastRow="0" w:firstColumn="1" w:lastColumn="0" w:noHBand="0" w:noVBand="1"/>
      </w:tblPr>
      <w:tblGrid>
        <w:gridCol w:w="9016"/>
      </w:tblGrid>
      <w:tr w:rsidR="00D1170C" w14:paraId="42996425" w14:textId="77777777" w:rsidTr="00D1170C">
        <w:tc>
          <w:tcPr>
            <w:tcW w:w="9016" w:type="dxa"/>
          </w:tcPr>
          <w:p w14:paraId="48FB5BB4" w14:textId="77777777" w:rsidR="00D1170C" w:rsidRPr="00D1170C" w:rsidRDefault="00D1170C" w:rsidP="00D1170C">
            <w:pPr>
              <w:rPr>
                <w:rFonts w:ascii="Gotham Book" w:hAnsi="Gotham Book" w:cstheme="minorHAnsi"/>
              </w:rPr>
            </w:pPr>
            <w:r w:rsidRPr="00D1170C">
              <w:rPr>
                <w:rFonts w:ascii="Gotham Book" w:hAnsi="Gotham Book" w:cstheme="minorHAnsi"/>
              </w:rPr>
              <w:t xml:space="preserve">Tips for presenting a summary of evidence and additional considerations for other </w:t>
            </w:r>
            <w:proofErr w:type="spellStart"/>
            <w:r w:rsidRPr="00D1170C">
              <w:rPr>
                <w:rFonts w:ascii="Gotham Book" w:hAnsi="Gotham Book" w:cstheme="minorHAnsi"/>
              </w:rPr>
              <w:t>EtD</w:t>
            </w:r>
            <w:proofErr w:type="spellEnd"/>
            <w:r w:rsidRPr="00D1170C">
              <w:rPr>
                <w:rFonts w:ascii="Gotham Book" w:hAnsi="Gotham Book" w:cstheme="minorHAnsi"/>
              </w:rPr>
              <w:t xml:space="preserve"> criteria include:</w:t>
            </w:r>
          </w:p>
          <w:p w14:paraId="6DF9E35A" w14:textId="77777777" w:rsidR="00D1170C" w:rsidRPr="00D1170C" w:rsidRDefault="00D1170C" w:rsidP="00D1170C">
            <w:pPr>
              <w:rPr>
                <w:rFonts w:ascii="Gotham Book" w:hAnsi="Gotham Book" w:cstheme="minorHAnsi"/>
              </w:rPr>
            </w:pPr>
          </w:p>
          <w:p w14:paraId="2693E12B" w14:textId="77777777" w:rsidR="00D1170C" w:rsidRPr="00D1170C" w:rsidRDefault="00D1170C" w:rsidP="00D1170C">
            <w:pPr>
              <w:ind w:left="306" w:hanging="306"/>
              <w:rPr>
                <w:rFonts w:ascii="Gotham Book" w:hAnsi="Gotham Book" w:cstheme="minorHAnsi"/>
              </w:rPr>
            </w:pPr>
            <w:r w:rsidRPr="00D1170C">
              <w:rPr>
                <w:rFonts w:ascii="Gotham Book" w:hAnsi="Gotham Book" w:cstheme="minorHAnsi"/>
              </w:rPr>
              <w:t>•</w:t>
            </w:r>
            <w:r w:rsidRPr="00D1170C">
              <w:rPr>
                <w:rFonts w:ascii="Gotham Book" w:hAnsi="Gotham Book" w:cstheme="minorHAnsi"/>
              </w:rPr>
              <w:tab/>
              <w:t xml:space="preserve">begin with key points so that the GDG can focus on the most important considerations </w:t>
            </w:r>
          </w:p>
          <w:p w14:paraId="1231F0A3" w14:textId="77777777" w:rsidR="00D1170C" w:rsidRPr="00D1170C" w:rsidRDefault="00D1170C" w:rsidP="00D1170C">
            <w:pPr>
              <w:ind w:left="306" w:hanging="306"/>
              <w:rPr>
                <w:rFonts w:ascii="Gotham Book" w:hAnsi="Gotham Book" w:cstheme="minorHAnsi"/>
              </w:rPr>
            </w:pPr>
            <w:r w:rsidRPr="00D1170C">
              <w:rPr>
                <w:rFonts w:ascii="Gotham Book" w:hAnsi="Gotham Book" w:cstheme="minorHAnsi"/>
              </w:rPr>
              <w:lastRenderedPageBreak/>
              <w:t>•</w:t>
            </w:r>
            <w:r w:rsidRPr="00D1170C">
              <w:rPr>
                <w:rFonts w:ascii="Gotham Book" w:hAnsi="Gotham Book" w:cstheme="minorHAnsi"/>
              </w:rPr>
              <w:tab/>
              <w:t xml:space="preserve">structure information using subheadings, dot points and formatting (e.g. bolding) </w:t>
            </w:r>
          </w:p>
          <w:p w14:paraId="20E951AB" w14:textId="77777777" w:rsidR="00D1170C" w:rsidRPr="00D1170C" w:rsidRDefault="00D1170C" w:rsidP="00D1170C">
            <w:pPr>
              <w:ind w:left="306" w:hanging="306"/>
              <w:rPr>
                <w:rFonts w:ascii="Gotham Book" w:hAnsi="Gotham Book" w:cstheme="minorHAnsi"/>
              </w:rPr>
            </w:pPr>
            <w:r w:rsidRPr="00D1170C">
              <w:rPr>
                <w:rFonts w:ascii="Gotham Book" w:hAnsi="Gotham Book" w:cstheme="minorHAnsi"/>
              </w:rPr>
              <w:t>•</w:t>
            </w:r>
            <w:r w:rsidRPr="00D1170C">
              <w:rPr>
                <w:rFonts w:ascii="Gotham Book" w:hAnsi="Gotham Book" w:cstheme="minorHAnsi"/>
              </w:rPr>
              <w:tab/>
              <w:t xml:space="preserve">keep text concise, writing in a style that facilitates presentation at the meeting </w:t>
            </w:r>
          </w:p>
          <w:p w14:paraId="31EEC64B" w14:textId="77777777" w:rsidR="00D1170C" w:rsidRPr="00D1170C" w:rsidRDefault="00D1170C" w:rsidP="00D1170C">
            <w:pPr>
              <w:ind w:left="306" w:hanging="306"/>
              <w:rPr>
                <w:rFonts w:ascii="Gotham Book" w:hAnsi="Gotham Book" w:cstheme="minorHAnsi"/>
              </w:rPr>
            </w:pPr>
            <w:r w:rsidRPr="00D1170C">
              <w:rPr>
                <w:rFonts w:ascii="Gotham Book" w:hAnsi="Gotham Book" w:cstheme="minorHAnsi"/>
              </w:rPr>
              <w:t>•</w:t>
            </w:r>
            <w:r w:rsidRPr="00D1170C">
              <w:rPr>
                <w:rFonts w:ascii="Gotham Book" w:hAnsi="Gotham Book" w:cstheme="minorHAnsi"/>
              </w:rPr>
              <w:tab/>
              <w:t xml:space="preserve">include prompts to get input from the panel where evidence is lacking or additional contextual information is sought (e.g. “panel to consider if there are barriers that must be addressed to ensure equitable access”) </w:t>
            </w:r>
          </w:p>
          <w:p w14:paraId="3039F56D" w14:textId="77777777" w:rsidR="00D1170C" w:rsidRPr="00D1170C" w:rsidRDefault="00D1170C" w:rsidP="00D1170C">
            <w:pPr>
              <w:ind w:left="306" w:hanging="306"/>
              <w:rPr>
                <w:rFonts w:ascii="Gotham Book" w:hAnsi="Gotham Book" w:cstheme="minorHAnsi"/>
              </w:rPr>
            </w:pPr>
            <w:r w:rsidRPr="00D1170C">
              <w:rPr>
                <w:rFonts w:ascii="Gotham Book" w:hAnsi="Gotham Book" w:cstheme="minorHAnsi"/>
              </w:rPr>
              <w:t>•</w:t>
            </w:r>
            <w:r w:rsidRPr="00D1170C">
              <w:rPr>
                <w:rFonts w:ascii="Gotham Book" w:hAnsi="Gotham Book" w:cstheme="minorHAnsi"/>
              </w:rPr>
              <w:tab/>
              <w:t xml:space="preserve">consider using tables and figures for more efficient presentation </w:t>
            </w:r>
          </w:p>
          <w:p w14:paraId="3A8929B2" w14:textId="77777777" w:rsidR="00D1170C" w:rsidRPr="00D1170C" w:rsidRDefault="00D1170C" w:rsidP="00D1170C">
            <w:pPr>
              <w:ind w:left="306" w:hanging="306"/>
              <w:rPr>
                <w:rFonts w:ascii="Gotham Book" w:hAnsi="Gotham Book" w:cstheme="minorHAnsi"/>
              </w:rPr>
            </w:pPr>
            <w:r w:rsidRPr="00D1170C">
              <w:rPr>
                <w:rFonts w:ascii="Gotham Book" w:hAnsi="Gotham Book" w:cstheme="minorHAnsi"/>
              </w:rPr>
              <w:t>•</w:t>
            </w:r>
            <w:r w:rsidRPr="00D1170C">
              <w:rPr>
                <w:rFonts w:ascii="Gotham Book" w:hAnsi="Gotham Book" w:cstheme="minorHAnsi"/>
              </w:rPr>
              <w:tab/>
              <w:t xml:space="preserve">report the source of evidence (i.e. the reference for a systematic review or primary study) </w:t>
            </w:r>
          </w:p>
          <w:p w14:paraId="3B115600" w14:textId="77777777" w:rsidR="00D1170C" w:rsidRPr="00D1170C" w:rsidRDefault="00D1170C" w:rsidP="00D1170C">
            <w:pPr>
              <w:ind w:left="306" w:hanging="306"/>
              <w:rPr>
                <w:rFonts w:ascii="Gotham Book" w:hAnsi="Gotham Book" w:cstheme="minorHAnsi"/>
              </w:rPr>
            </w:pPr>
            <w:r w:rsidRPr="00D1170C">
              <w:rPr>
                <w:rFonts w:ascii="Gotham Book" w:hAnsi="Gotham Book" w:cstheme="minorHAnsi"/>
              </w:rPr>
              <w:t>•</w:t>
            </w:r>
            <w:r w:rsidRPr="00D1170C">
              <w:rPr>
                <w:rFonts w:ascii="Gotham Book" w:hAnsi="Gotham Book" w:cstheme="minorHAnsi"/>
              </w:rPr>
              <w:tab/>
              <w:t xml:space="preserve">if a non-systematic approach was used to gather evidence, note this as a limitation </w:t>
            </w:r>
          </w:p>
          <w:p w14:paraId="248CA4C2" w14:textId="231D0AA7" w:rsidR="00D1170C" w:rsidRDefault="00D1170C" w:rsidP="00D1170C">
            <w:pPr>
              <w:ind w:left="306" w:hanging="306"/>
              <w:rPr>
                <w:rFonts w:ascii="Gotham Book" w:hAnsi="Gotham Book" w:cstheme="minorHAnsi"/>
              </w:rPr>
            </w:pPr>
            <w:r w:rsidRPr="00D1170C">
              <w:rPr>
                <w:rFonts w:ascii="Gotham Book" w:hAnsi="Gotham Book" w:cstheme="minorHAnsi"/>
              </w:rPr>
              <w:t>•</w:t>
            </w:r>
            <w:r w:rsidRPr="00D1170C">
              <w:rPr>
                <w:rFonts w:ascii="Gotham Book" w:hAnsi="Gotham Book" w:cstheme="minorHAnsi"/>
              </w:rPr>
              <w:tab/>
              <w:t xml:space="preserve">consider if the same summary can be used in different </w:t>
            </w:r>
            <w:proofErr w:type="spellStart"/>
            <w:r w:rsidRPr="00D1170C">
              <w:rPr>
                <w:rFonts w:ascii="Gotham Book" w:hAnsi="Gotham Book" w:cstheme="minorHAnsi"/>
              </w:rPr>
              <w:t>EtDs</w:t>
            </w:r>
            <w:proofErr w:type="spellEnd"/>
            <w:r w:rsidRPr="00D1170C">
              <w:rPr>
                <w:rFonts w:ascii="Gotham Book" w:hAnsi="Gotham Book" w:cstheme="minorHAnsi"/>
              </w:rPr>
              <w:t xml:space="preserve"> because the evidence applies to multiple questions</w:t>
            </w:r>
          </w:p>
        </w:tc>
      </w:tr>
    </w:tbl>
    <w:p w14:paraId="0D6A095A" w14:textId="77777777" w:rsidR="00D1170C" w:rsidRPr="00646746" w:rsidRDefault="00D1170C" w:rsidP="00493297">
      <w:pPr>
        <w:rPr>
          <w:rFonts w:ascii="Gotham Book" w:hAnsi="Gotham Book" w:cstheme="minorHAnsi"/>
        </w:rPr>
      </w:pPr>
    </w:p>
    <w:p w14:paraId="4ACD3780" w14:textId="26EF493B" w:rsidR="00C75E20" w:rsidRPr="0037483F" w:rsidRDefault="005C2770" w:rsidP="005C2770">
      <w:pPr>
        <w:rPr>
          <w:rFonts w:ascii="Gotham Book" w:hAnsi="Gotham Book" w:cstheme="minorHAnsi"/>
        </w:rPr>
      </w:pPr>
      <w:r w:rsidRPr="00646746">
        <w:rPr>
          <w:rFonts w:ascii="Gotham Book" w:hAnsi="Gotham Book" w:cstheme="minorHAnsi"/>
        </w:rPr>
        <w:t xml:space="preserve">If you have results from an evidence synthesis for other </w:t>
      </w:r>
      <w:proofErr w:type="spellStart"/>
      <w:r w:rsidRPr="00646746">
        <w:rPr>
          <w:rFonts w:ascii="Gotham Book" w:hAnsi="Gotham Book" w:cstheme="minorHAnsi"/>
        </w:rPr>
        <w:t>EtD</w:t>
      </w:r>
      <w:proofErr w:type="spellEnd"/>
      <w:r w:rsidRPr="00646746">
        <w:rPr>
          <w:rFonts w:ascii="Gotham Book" w:hAnsi="Gotham Book" w:cstheme="minorHAnsi"/>
        </w:rPr>
        <w:t xml:space="preserve"> factors, GRADE summary of findings table templates are available for evidence about values and cost effectiveness</w:t>
      </w:r>
      <w:r w:rsidR="0061579D" w:rsidRPr="009F47FF">
        <w:rPr>
          <w:rFonts w:ascii="Gotham Book" w:hAnsi="Gotham Book" w:cstheme="minorHAnsi"/>
          <w:vertAlign w:val="superscript"/>
        </w:rPr>
        <w:t>19,34,35</w:t>
      </w:r>
      <w:r w:rsidR="009F47FF">
        <w:rPr>
          <w:rFonts w:ascii="Gotham Book" w:hAnsi="Gotham Book" w:cstheme="minorHAnsi"/>
        </w:rPr>
        <w:t xml:space="preserve">. </w:t>
      </w:r>
      <w:r w:rsidRPr="00646746">
        <w:rPr>
          <w:rFonts w:ascii="Gotham Book" w:hAnsi="Gotham Book" w:cstheme="minorHAnsi"/>
        </w:rPr>
        <w:t xml:space="preserve">There is an online tool for preparing a summary of findings from a qualitative evidence synthesis in which GRADE </w:t>
      </w:r>
      <w:proofErr w:type="spellStart"/>
      <w:r w:rsidRPr="00646746">
        <w:rPr>
          <w:rFonts w:ascii="Gotham Book" w:hAnsi="Gotham Book" w:cstheme="minorHAnsi"/>
        </w:rPr>
        <w:t>CERQual</w:t>
      </w:r>
      <w:proofErr w:type="spellEnd"/>
      <w:r w:rsidRPr="00646746">
        <w:rPr>
          <w:rFonts w:ascii="Gotham Book" w:hAnsi="Gotham Book" w:cstheme="minorHAnsi"/>
        </w:rPr>
        <w:t xml:space="preserve"> has been used</w:t>
      </w:r>
      <w:r w:rsidR="00905DF0">
        <w:rPr>
          <w:rFonts w:ascii="Gotham Book" w:hAnsi="Gotham Book" w:cstheme="minorHAnsi"/>
        </w:rPr>
        <w:t xml:space="preserve">: </w:t>
      </w:r>
      <w:hyperlink r:id="rId24" w:history="1">
        <w:proofErr w:type="spellStart"/>
        <w:r w:rsidR="00905DF0" w:rsidRPr="00905DF0">
          <w:rPr>
            <w:rStyle w:val="Hyperlink"/>
            <w:rFonts w:ascii="Gotham Book" w:hAnsi="Gotham Book" w:cstheme="minorHAnsi"/>
          </w:rPr>
          <w:t>iS</w:t>
        </w:r>
        <w:r w:rsidR="00905DF0">
          <w:rPr>
            <w:rStyle w:val="Hyperlink"/>
            <w:rFonts w:ascii="Gotham Book" w:hAnsi="Gotham Book" w:cstheme="minorHAnsi"/>
          </w:rPr>
          <w:t>o</w:t>
        </w:r>
        <w:r w:rsidR="00905DF0" w:rsidRPr="00905DF0">
          <w:rPr>
            <w:rStyle w:val="Hyperlink"/>
            <w:rFonts w:ascii="Gotham Book" w:hAnsi="Gotham Book" w:cstheme="minorHAnsi"/>
          </w:rPr>
          <w:t>Q</w:t>
        </w:r>
        <w:proofErr w:type="spellEnd"/>
      </w:hyperlink>
      <w:r w:rsidR="00905DF0" w:rsidRPr="00905DF0">
        <w:rPr>
          <w:rFonts w:ascii="Gotham Book" w:hAnsi="Gotham Book" w:cstheme="minorHAnsi"/>
        </w:rPr>
        <w:t>.</w:t>
      </w:r>
      <w:r w:rsidR="00905DF0">
        <w:rPr>
          <w:rFonts w:ascii="Gotham Book" w:hAnsi="Gotham Book" w:cstheme="minorHAnsi"/>
        </w:rPr>
        <w:t xml:space="preserve"> </w:t>
      </w:r>
      <w:r w:rsidRPr="00646746">
        <w:rPr>
          <w:rFonts w:ascii="Gotham Book" w:hAnsi="Gotham Book" w:cstheme="minorHAnsi"/>
        </w:rPr>
        <w:t>This may be useful for summarising a synthesis of evidence about equity implications, acceptability or feasibility of intervention options.</w:t>
      </w:r>
    </w:p>
    <w:p w14:paraId="20131F29" w14:textId="3361D24A" w:rsidR="005C2770" w:rsidRPr="00646746" w:rsidRDefault="005C2770" w:rsidP="005C05DC">
      <w:pPr>
        <w:pStyle w:val="Heading4"/>
        <w:rPr>
          <w:i/>
          <w:color w:val="365F91" w:themeColor="accent1" w:themeShade="BF"/>
        </w:rPr>
      </w:pPr>
      <w:r w:rsidRPr="00646746">
        <w:t xml:space="preserve">Link to more detailed information as required </w:t>
      </w:r>
    </w:p>
    <w:p w14:paraId="44C618CE" w14:textId="3A710560" w:rsidR="005C2770" w:rsidRPr="00646746" w:rsidRDefault="00787CC4" w:rsidP="00493297">
      <w:pPr>
        <w:rPr>
          <w:rFonts w:ascii="Gotham Book" w:hAnsi="Gotham Book" w:cstheme="minorHAnsi"/>
        </w:rPr>
      </w:pPr>
      <w:r w:rsidRPr="00646746">
        <w:rPr>
          <w:rFonts w:ascii="Gotham Book" w:hAnsi="Gotham Book" w:cstheme="minorHAnsi"/>
        </w:rPr>
        <w:t xml:space="preserve">The content of an </w:t>
      </w:r>
      <w:proofErr w:type="spellStart"/>
      <w:r w:rsidRPr="00646746">
        <w:rPr>
          <w:rFonts w:ascii="Gotham Book" w:hAnsi="Gotham Book" w:cstheme="minorHAnsi"/>
        </w:rPr>
        <w:t>EtD</w:t>
      </w:r>
      <w:proofErr w:type="spellEnd"/>
      <w:r w:rsidRPr="00646746">
        <w:rPr>
          <w:rFonts w:ascii="Gotham Book" w:hAnsi="Gotham Book" w:cstheme="minorHAnsi"/>
        </w:rPr>
        <w:t xml:space="preserve"> is usually based on more detailed evidence and other information. It is preferable to link to supporting information, rather than present lengthy text in the </w:t>
      </w:r>
      <w:proofErr w:type="spellStart"/>
      <w:r w:rsidRPr="00646746">
        <w:rPr>
          <w:rFonts w:ascii="Gotham Book" w:hAnsi="Gotham Book" w:cstheme="minorHAnsi"/>
        </w:rPr>
        <w:t>EtD</w:t>
      </w:r>
      <w:proofErr w:type="spellEnd"/>
      <w:r w:rsidRPr="00646746">
        <w:rPr>
          <w:rFonts w:ascii="Gotham Book" w:hAnsi="Gotham Book" w:cstheme="minorHAnsi"/>
        </w:rPr>
        <w:t xml:space="preserve"> itself. Both </w:t>
      </w:r>
      <w:proofErr w:type="spellStart"/>
      <w:r w:rsidRPr="00646746">
        <w:rPr>
          <w:rFonts w:ascii="Gotham Book" w:hAnsi="Gotham Book" w:cstheme="minorHAnsi"/>
        </w:rPr>
        <w:t>MAGICapp</w:t>
      </w:r>
      <w:proofErr w:type="spellEnd"/>
      <w:r w:rsidRPr="00646746">
        <w:rPr>
          <w:rFonts w:ascii="Gotham Book" w:hAnsi="Gotham Book" w:cstheme="minorHAnsi"/>
        </w:rPr>
        <w:t xml:space="preserve"> and </w:t>
      </w:r>
      <w:proofErr w:type="spellStart"/>
      <w:r w:rsidRPr="00646746">
        <w:rPr>
          <w:rFonts w:ascii="Gotham Book" w:hAnsi="Gotham Book" w:cstheme="minorHAnsi"/>
        </w:rPr>
        <w:t>GRADEpro</w:t>
      </w:r>
      <w:proofErr w:type="spellEnd"/>
      <w:r w:rsidRPr="00646746">
        <w:rPr>
          <w:rFonts w:ascii="Gotham Book" w:hAnsi="Gotham Book" w:cstheme="minorHAnsi"/>
        </w:rPr>
        <w:t xml:space="preserve"> have the option to link out to documents and websites.</w:t>
      </w:r>
    </w:p>
    <w:p w14:paraId="032C920F" w14:textId="3F287F45" w:rsidR="00787CC4" w:rsidRPr="00646746" w:rsidRDefault="00787CC4" w:rsidP="00787CC4">
      <w:pPr>
        <w:rPr>
          <w:rFonts w:ascii="Gotham Book" w:hAnsi="Gotham Book" w:cstheme="minorHAnsi"/>
          <w:b/>
        </w:rPr>
      </w:pPr>
      <w:r w:rsidRPr="00646746">
        <w:rPr>
          <w:rFonts w:ascii="Gotham Book" w:hAnsi="Gotham Book" w:cstheme="minorHAnsi"/>
          <w:b/>
        </w:rPr>
        <w:t>Examples of more detailed information to which links can be provided include</w:t>
      </w:r>
      <w:r w:rsidR="00C75E20" w:rsidRPr="00646746">
        <w:rPr>
          <w:rFonts w:ascii="Gotham Book" w:hAnsi="Gotham Book" w:cstheme="minorHAnsi"/>
          <w:b/>
        </w:rPr>
        <w:t>:</w:t>
      </w:r>
      <w:r w:rsidRPr="00646746">
        <w:rPr>
          <w:rFonts w:ascii="Gotham Book" w:hAnsi="Gotham Book" w:cstheme="minorHAnsi"/>
          <w:b/>
        </w:rPr>
        <w:t xml:space="preserve"> </w:t>
      </w:r>
    </w:p>
    <w:p w14:paraId="5FEC06AA" w14:textId="1E4849ED" w:rsidR="00787CC4" w:rsidRPr="00646746" w:rsidRDefault="00787CC4" w:rsidP="004111FB">
      <w:pPr>
        <w:pStyle w:val="ListParagraph"/>
        <w:numPr>
          <w:ilvl w:val="0"/>
          <w:numId w:val="22"/>
        </w:numPr>
        <w:rPr>
          <w:rFonts w:ascii="Gotham Book" w:hAnsi="Gotham Book" w:cstheme="minorHAnsi"/>
        </w:rPr>
      </w:pPr>
      <w:r w:rsidRPr="00646746">
        <w:rPr>
          <w:rFonts w:ascii="Gotham Book" w:hAnsi="Gotham Book" w:cstheme="minorHAnsi"/>
        </w:rPr>
        <w:t xml:space="preserve">full systematic reviews (prepared by the technical team or existing reviews) </w:t>
      </w:r>
    </w:p>
    <w:p w14:paraId="7CC890F5" w14:textId="3231EF93" w:rsidR="00787CC4" w:rsidRPr="00646746" w:rsidRDefault="00787CC4" w:rsidP="004111FB">
      <w:pPr>
        <w:pStyle w:val="ListParagraph"/>
        <w:numPr>
          <w:ilvl w:val="0"/>
          <w:numId w:val="22"/>
        </w:numPr>
        <w:rPr>
          <w:rFonts w:ascii="Gotham Book" w:hAnsi="Gotham Book" w:cstheme="minorHAnsi"/>
        </w:rPr>
      </w:pPr>
      <w:r w:rsidRPr="00646746">
        <w:rPr>
          <w:rFonts w:ascii="Gotham Book" w:hAnsi="Gotham Book" w:cstheme="minorHAnsi"/>
        </w:rPr>
        <w:t xml:space="preserve">tables reporting characteristics and methodological quality of studies </w:t>
      </w:r>
    </w:p>
    <w:p w14:paraId="356DF8BF" w14:textId="441D6CFC" w:rsidR="00787CC4" w:rsidRPr="00646746" w:rsidRDefault="00787CC4" w:rsidP="004111FB">
      <w:pPr>
        <w:pStyle w:val="ListParagraph"/>
        <w:numPr>
          <w:ilvl w:val="0"/>
          <w:numId w:val="22"/>
        </w:numPr>
        <w:rPr>
          <w:rFonts w:ascii="Gotham Book" w:hAnsi="Gotham Book" w:cstheme="minorHAnsi"/>
        </w:rPr>
      </w:pPr>
      <w:r w:rsidRPr="00646746">
        <w:rPr>
          <w:rFonts w:ascii="Gotham Book" w:hAnsi="Gotham Book" w:cstheme="minorHAnsi"/>
        </w:rPr>
        <w:t xml:space="preserve">forest plots and results from additional analyses </w:t>
      </w:r>
    </w:p>
    <w:p w14:paraId="56EC8709" w14:textId="4C2B02D2" w:rsidR="00787CC4" w:rsidRPr="00646746" w:rsidRDefault="00787CC4" w:rsidP="004111FB">
      <w:pPr>
        <w:pStyle w:val="ListParagraph"/>
        <w:numPr>
          <w:ilvl w:val="0"/>
          <w:numId w:val="22"/>
        </w:numPr>
        <w:rPr>
          <w:rFonts w:ascii="Gotham Book" w:hAnsi="Gotham Book" w:cstheme="minorHAnsi"/>
        </w:rPr>
      </w:pPr>
      <w:r w:rsidRPr="00646746">
        <w:rPr>
          <w:rFonts w:ascii="Gotham Book" w:hAnsi="Gotham Book" w:cstheme="minorHAnsi"/>
        </w:rPr>
        <w:t xml:space="preserve">overarching documents examining equity or implementation considerations for the guideline as a whole </w:t>
      </w:r>
    </w:p>
    <w:p w14:paraId="4B054155" w14:textId="0E7D35CF" w:rsidR="00787CC4" w:rsidRPr="00646746" w:rsidRDefault="00787CC4" w:rsidP="004111FB">
      <w:pPr>
        <w:pStyle w:val="ListParagraph"/>
        <w:numPr>
          <w:ilvl w:val="0"/>
          <w:numId w:val="22"/>
        </w:numPr>
        <w:rPr>
          <w:rFonts w:ascii="Gotham Book" w:hAnsi="Gotham Book" w:cstheme="minorHAnsi"/>
        </w:rPr>
      </w:pPr>
      <w:r w:rsidRPr="00646746">
        <w:rPr>
          <w:rFonts w:ascii="Gotham Book" w:hAnsi="Gotham Book" w:cstheme="minorHAnsi"/>
        </w:rPr>
        <w:t xml:space="preserve">data from surveys of GDG members, advisory groups or other interest holds </w:t>
      </w:r>
    </w:p>
    <w:p w14:paraId="23A82449" w14:textId="629D16EF" w:rsidR="00787CC4" w:rsidRPr="00646746" w:rsidRDefault="00787CC4" w:rsidP="004111FB">
      <w:pPr>
        <w:pStyle w:val="ListParagraph"/>
        <w:numPr>
          <w:ilvl w:val="0"/>
          <w:numId w:val="22"/>
        </w:numPr>
        <w:rPr>
          <w:rFonts w:ascii="Gotham Book" w:hAnsi="Gotham Book" w:cstheme="minorHAnsi"/>
        </w:rPr>
      </w:pPr>
      <w:r w:rsidRPr="00646746">
        <w:rPr>
          <w:rFonts w:ascii="Gotham Book" w:hAnsi="Gotham Book" w:cstheme="minorHAnsi"/>
        </w:rPr>
        <w:t xml:space="preserve">related clinical practice guidelines or resources. </w:t>
      </w:r>
    </w:p>
    <w:p w14:paraId="1EDD0F1A" w14:textId="77777777" w:rsidR="007E7C05" w:rsidRPr="00646746" w:rsidRDefault="007E7C05" w:rsidP="004111FB"/>
    <w:p w14:paraId="15C322FC" w14:textId="00F376AE" w:rsidR="00787CC4" w:rsidRPr="00646746" w:rsidRDefault="00787CC4" w:rsidP="005C05DC">
      <w:pPr>
        <w:pStyle w:val="Heading2"/>
        <w:rPr>
          <w:sz w:val="26"/>
        </w:rPr>
      </w:pPr>
      <w:bookmarkStart w:id="14" w:name="_Toc184284427"/>
      <w:r w:rsidRPr="00646746">
        <w:rPr>
          <w:sz w:val="26"/>
        </w:rPr>
        <w:lastRenderedPageBreak/>
        <w:t xml:space="preserve">Use the </w:t>
      </w:r>
      <w:proofErr w:type="spellStart"/>
      <w:r w:rsidRPr="00646746">
        <w:rPr>
          <w:sz w:val="26"/>
        </w:rPr>
        <w:t>EtD</w:t>
      </w:r>
      <w:proofErr w:type="spellEnd"/>
      <w:r w:rsidRPr="00646746">
        <w:rPr>
          <w:sz w:val="26"/>
        </w:rPr>
        <w:t xml:space="preserve"> framework to structure discussion and decide whether the net consequences favour the intervention or the alternative</w:t>
      </w:r>
      <w:bookmarkEnd w:id="14"/>
    </w:p>
    <w:p w14:paraId="359306D6" w14:textId="29C883A0" w:rsidR="00787CC4" w:rsidRPr="00646746" w:rsidRDefault="00D90E1D" w:rsidP="00493297">
      <w:pPr>
        <w:rPr>
          <w:rFonts w:ascii="Gotham Book" w:hAnsi="Gotham Book" w:cs="Calibri"/>
          <w:color w:val="000000"/>
        </w:rPr>
      </w:pPr>
      <w:r w:rsidRPr="00646746">
        <w:rPr>
          <w:rFonts w:ascii="Gotham Book" w:hAnsi="Gotham Book" w:cs="Calibri"/>
          <w:color w:val="000000"/>
        </w:rPr>
        <w:t xml:space="preserve">To make a recommendation, the GDG must decide whether the evidence and additional information favours the intervention, favours the alternative option (the comparator), indicates a close balance between options, or is uncertain. All </w:t>
      </w:r>
      <w:proofErr w:type="spellStart"/>
      <w:r w:rsidRPr="00646746">
        <w:rPr>
          <w:rFonts w:ascii="Gotham Book" w:hAnsi="Gotham Book" w:cs="Calibri"/>
          <w:color w:val="000000"/>
        </w:rPr>
        <w:t>EtD</w:t>
      </w:r>
      <w:proofErr w:type="spellEnd"/>
      <w:r w:rsidRPr="00646746">
        <w:rPr>
          <w:rFonts w:ascii="Gotham Book" w:hAnsi="Gotham Book" w:cs="Calibri"/>
          <w:color w:val="000000"/>
        </w:rPr>
        <w:t xml:space="preserve"> criteria are usually considered when deciding on ‘net consequences’, not just the desirable and undesirable effect</w:t>
      </w:r>
      <w:r w:rsidR="008044B6">
        <w:rPr>
          <w:rFonts w:ascii="Gotham Book" w:hAnsi="Gotham Book" w:cs="Calibri"/>
          <w:color w:val="000000"/>
        </w:rPr>
        <w:t>s</w:t>
      </w:r>
      <w:r w:rsidRPr="00646746">
        <w:rPr>
          <w:rFonts w:ascii="Gotham Book" w:hAnsi="Gotham Book" w:cs="Calibri"/>
          <w:color w:val="000000"/>
        </w:rPr>
        <w:t xml:space="preserve"> on health outcomes.</w:t>
      </w:r>
    </w:p>
    <w:p w14:paraId="34C0894C" w14:textId="77777777" w:rsidR="00AC4D41" w:rsidRPr="00646746" w:rsidRDefault="00AC4D41" w:rsidP="005C05DC">
      <w:pPr>
        <w:pStyle w:val="Heading4"/>
        <w:rPr>
          <w:i/>
          <w:color w:val="365F91" w:themeColor="accent1" w:themeShade="BF"/>
        </w:rPr>
      </w:pPr>
      <w:r w:rsidRPr="00646746">
        <w:t xml:space="preserve">Discuss and make a judgement about whether the balance between the desirable and undesirable effects (‘net benefit’) favours the intervention or the alternative option </w:t>
      </w:r>
    </w:p>
    <w:p w14:paraId="00937AAE" w14:textId="7D346B0F" w:rsidR="00D90E1D" w:rsidRPr="00646746" w:rsidRDefault="00AC4D41" w:rsidP="00493297">
      <w:pPr>
        <w:rPr>
          <w:rFonts w:ascii="Gotham Book" w:hAnsi="Gotham Book" w:cstheme="minorHAnsi"/>
        </w:rPr>
      </w:pPr>
      <w:r w:rsidRPr="00646746">
        <w:rPr>
          <w:rFonts w:ascii="Gotham Book" w:hAnsi="Gotham Book" w:cstheme="minorHAnsi"/>
        </w:rPr>
        <w:t>A useful first step is for the GDG to review the content of the evidence profile and agree on the interpretation of each outcome. Once agreement is reached on the interpretation of each outcome, the panel must make a judgement about whether the desirable effects of the option being considered outweigh the undesirable effects.</w:t>
      </w:r>
    </w:p>
    <w:p w14:paraId="017BA250" w14:textId="2760196C" w:rsidR="00AC4D41" w:rsidRPr="00646746" w:rsidRDefault="00AC4D41" w:rsidP="00AC4D41">
      <w:pPr>
        <w:rPr>
          <w:rFonts w:ascii="Gotham Book" w:hAnsi="Gotham Book" w:cstheme="minorHAnsi"/>
          <w:b/>
        </w:rPr>
      </w:pPr>
      <w:r w:rsidRPr="00646746">
        <w:rPr>
          <w:rFonts w:ascii="Gotham Book" w:hAnsi="Gotham Book" w:cstheme="minorHAnsi"/>
          <w:b/>
        </w:rPr>
        <w:t>This judgement requires the GDG to consider</w:t>
      </w:r>
      <w:r w:rsidR="001453D4" w:rsidRPr="00646746">
        <w:rPr>
          <w:rFonts w:ascii="Gotham Book" w:hAnsi="Gotham Book" w:cstheme="minorHAnsi"/>
          <w:b/>
        </w:rPr>
        <w:t>:</w:t>
      </w:r>
      <w:r w:rsidRPr="00646746">
        <w:rPr>
          <w:rFonts w:ascii="Gotham Book" w:hAnsi="Gotham Book" w:cstheme="minorHAnsi"/>
          <w:b/>
        </w:rPr>
        <w:t xml:space="preserve"> </w:t>
      </w:r>
    </w:p>
    <w:p w14:paraId="7F0E867D" w14:textId="7DD37194" w:rsidR="00AC4D41" w:rsidRPr="00646746" w:rsidRDefault="00AC4D41" w:rsidP="009A42CE">
      <w:pPr>
        <w:pStyle w:val="ListParagraph"/>
        <w:numPr>
          <w:ilvl w:val="0"/>
          <w:numId w:val="30"/>
        </w:numPr>
        <w:rPr>
          <w:rFonts w:ascii="Gotham Book" w:hAnsi="Gotham Book" w:cstheme="minorHAnsi"/>
        </w:rPr>
      </w:pPr>
      <w:r w:rsidRPr="00646746">
        <w:rPr>
          <w:rFonts w:ascii="Gotham Book" w:hAnsi="Gotham Book" w:cstheme="minorHAnsi"/>
        </w:rPr>
        <w:t xml:space="preserve">How substantial are the desirable anticipated effects of the intervention option compared to the alternative (trivial, small, moderate or large)? </w:t>
      </w:r>
    </w:p>
    <w:p w14:paraId="6B4A68C9" w14:textId="0B4961AA" w:rsidR="00AC4D41" w:rsidRPr="00646746" w:rsidRDefault="00AC4D41" w:rsidP="009A42CE">
      <w:pPr>
        <w:pStyle w:val="ListParagraph"/>
        <w:numPr>
          <w:ilvl w:val="0"/>
          <w:numId w:val="30"/>
        </w:numPr>
        <w:rPr>
          <w:rFonts w:ascii="Gotham Book" w:hAnsi="Gotham Book" w:cstheme="minorHAnsi"/>
        </w:rPr>
      </w:pPr>
      <w:r w:rsidRPr="00646746">
        <w:rPr>
          <w:rFonts w:ascii="Gotham Book" w:hAnsi="Gotham Book" w:cstheme="minorHAnsi"/>
        </w:rPr>
        <w:t xml:space="preserve">How substantial are the undesirable effects (trivial, small, moderate or large)? </w:t>
      </w:r>
    </w:p>
    <w:p w14:paraId="20A2EAAC" w14:textId="7ACA3B4A" w:rsidR="00AC4D41" w:rsidRPr="00646746" w:rsidRDefault="00AC4D41" w:rsidP="009A42CE">
      <w:pPr>
        <w:pStyle w:val="ListParagraph"/>
        <w:numPr>
          <w:ilvl w:val="0"/>
          <w:numId w:val="30"/>
        </w:numPr>
        <w:rPr>
          <w:rFonts w:ascii="Gotham Book" w:hAnsi="Gotham Book" w:cstheme="minorHAnsi"/>
        </w:rPr>
      </w:pPr>
      <w:r w:rsidRPr="00646746">
        <w:rPr>
          <w:rFonts w:ascii="Gotham Book" w:hAnsi="Gotham Book" w:cstheme="minorHAnsi"/>
        </w:rPr>
        <w:t xml:space="preserve">What is the overall certainty of evidence of effects (generally the lowest certainty on any of the outcomes deemed to be critical for decision-making) </w:t>
      </w:r>
    </w:p>
    <w:p w14:paraId="25118182" w14:textId="4120BEBE" w:rsidR="00AC4D41" w:rsidRPr="00646746" w:rsidRDefault="00AC4D41" w:rsidP="009A42CE">
      <w:pPr>
        <w:pStyle w:val="ListParagraph"/>
        <w:numPr>
          <w:ilvl w:val="0"/>
          <w:numId w:val="30"/>
        </w:numPr>
        <w:rPr>
          <w:rFonts w:ascii="Gotham Book" w:hAnsi="Gotham Book" w:cstheme="minorHAnsi"/>
        </w:rPr>
      </w:pPr>
      <w:r w:rsidRPr="00646746">
        <w:rPr>
          <w:rFonts w:ascii="Gotham Book" w:hAnsi="Gotham Book" w:cstheme="minorHAnsi"/>
        </w:rPr>
        <w:t xml:space="preserve">Is there important uncertainty or variability in how people value the main outcomes (e.g. would some accept the small risk of serious side-effects for a moderate reduction in their pain, whereas others would not) </w:t>
      </w:r>
    </w:p>
    <w:p w14:paraId="76F7C8E8" w14:textId="66C5E77E" w:rsidR="00AC4D41" w:rsidRPr="00646746" w:rsidRDefault="00AC4D41" w:rsidP="00AC4D41">
      <w:pPr>
        <w:rPr>
          <w:rFonts w:ascii="Gotham Book" w:hAnsi="Gotham Book" w:cstheme="minorHAnsi"/>
        </w:rPr>
      </w:pPr>
      <w:r w:rsidRPr="00646746">
        <w:rPr>
          <w:rFonts w:ascii="Gotham Book" w:hAnsi="Gotham Book" w:cstheme="minorHAnsi"/>
        </w:rPr>
        <w:t>The GDG then makes an overall judgement about the balance between the desirable and undesirable effects (</w:t>
      </w:r>
      <w:r w:rsidRPr="00905DF0">
        <w:rPr>
          <w:rFonts w:ascii="Gotham Book" w:hAnsi="Gotham Book" w:cstheme="minorHAnsi"/>
          <w:u w:val="single"/>
        </w:rPr>
        <w:t xml:space="preserve">Table </w:t>
      </w:r>
      <w:r w:rsidR="003432AC" w:rsidRPr="00905DF0">
        <w:rPr>
          <w:rFonts w:ascii="Gotham Book" w:hAnsi="Gotham Book" w:cstheme="minorHAnsi"/>
          <w:u w:val="single"/>
        </w:rPr>
        <w:t>2</w:t>
      </w:r>
      <w:r w:rsidRPr="00646746">
        <w:rPr>
          <w:rFonts w:ascii="Gotham Book" w:hAnsi="Gotham Book" w:cstheme="minorHAnsi"/>
        </w:rPr>
        <w:t xml:space="preserve"> shows judgements implemented in </w:t>
      </w:r>
      <w:proofErr w:type="spellStart"/>
      <w:r w:rsidRPr="00646746">
        <w:rPr>
          <w:rFonts w:ascii="Gotham Book" w:hAnsi="Gotham Book" w:cstheme="minorHAnsi"/>
        </w:rPr>
        <w:t>GRADEpro</w:t>
      </w:r>
      <w:proofErr w:type="spellEnd"/>
      <w:r w:rsidRPr="00646746">
        <w:rPr>
          <w:rFonts w:ascii="Gotham Book" w:hAnsi="Gotham Book" w:cstheme="minorHAnsi"/>
        </w:rPr>
        <w:t xml:space="preserve"> and </w:t>
      </w:r>
      <w:proofErr w:type="spellStart"/>
      <w:r w:rsidRPr="00646746">
        <w:rPr>
          <w:rFonts w:ascii="Gotham Book" w:hAnsi="Gotham Book" w:cstheme="minorHAnsi"/>
        </w:rPr>
        <w:t>MAGICapp</w:t>
      </w:r>
      <w:proofErr w:type="spellEnd"/>
      <w:r w:rsidRPr="00646746">
        <w:rPr>
          <w:rFonts w:ascii="Gotham Book" w:hAnsi="Gotham Book" w:cstheme="minorHAnsi"/>
        </w:rPr>
        <w:t>). If the balance clearly favours one option over the other, this judgement is likely to be instrumental in determining the direction of the recommendation. More often, there will be trade-offs because the option has both desirable and undesirable effects</w:t>
      </w:r>
      <w:r w:rsidR="009F47FF" w:rsidRPr="009F47FF">
        <w:rPr>
          <w:rFonts w:ascii="Gotham Book" w:hAnsi="Gotham Book" w:cstheme="minorHAnsi"/>
          <w:vertAlign w:val="superscript"/>
        </w:rPr>
        <w:t>4</w:t>
      </w:r>
      <w:r w:rsidR="009F47FF">
        <w:rPr>
          <w:rFonts w:ascii="Gotham Book" w:hAnsi="Gotham Book" w:cstheme="minorHAnsi"/>
        </w:rPr>
        <w:t>.</w:t>
      </w:r>
    </w:p>
    <w:p w14:paraId="0284BE4C" w14:textId="039784A0" w:rsidR="00AC4D41" w:rsidRPr="00646746" w:rsidRDefault="00AC4D41" w:rsidP="00AC4D41">
      <w:pPr>
        <w:rPr>
          <w:rFonts w:ascii="Gotham Book" w:hAnsi="Gotham Book" w:cstheme="minorHAnsi"/>
          <w:b/>
        </w:rPr>
      </w:pPr>
      <w:r w:rsidRPr="00646746">
        <w:rPr>
          <w:rFonts w:ascii="Gotham Book" w:hAnsi="Gotham Book" w:cstheme="minorHAnsi"/>
          <w:b/>
        </w:rPr>
        <w:t xml:space="preserve">Table </w:t>
      </w:r>
      <w:r w:rsidR="003432AC" w:rsidRPr="00646746">
        <w:rPr>
          <w:rFonts w:ascii="Gotham Book" w:hAnsi="Gotham Book" w:cstheme="minorHAnsi"/>
          <w:b/>
          <w:bCs/>
        </w:rPr>
        <w:t>2</w:t>
      </w:r>
      <w:r w:rsidRPr="00646746">
        <w:rPr>
          <w:rFonts w:ascii="Gotham Book" w:hAnsi="Gotham Book" w:cstheme="minorHAnsi"/>
          <w:b/>
        </w:rPr>
        <w:t xml:space="preserve">. </w:t>
      </w:r>
      <w:r w:rsidRPr="005C05DC">
        <w:rPr>
          <w:rFonts w:ascii="Gotham Book" w:hAnsi="Gotham Book" w:cstheme="minorHAnsi"/>
          <w:b/>
          <w:sz w:val="23"/>
          <w:szCs w:val="23"/>
        </w:rPr>
        <w:t>Judgements</w:t>
      </w:r>
      <w:r w:rsidRPr="00646746">
        <w:rPr>
          <w:rFonts w:ascii="Gotham Book" w:hAnsi="Gotham Book" w:cstheme="minorHAnsi"/>
          <w:b/>
        </w:rPr>
        <w:t xml:space="preserve"> of the balance between desirable and undesirable effects</w:t>
      </w:r>
    </w:p>
    <w:tbl>
      <w:tblPr>
        <w:tblStyle w:val="TableGrid"/>
        <w:tblW w:w="10201" w:type="dxa"/>
        <w:tblLook w:val="04A0" w:firstRow="1" w:lastRow="0" w:firstColumn="1" w:lastColumn="0" w:noHBand="0" w:noVBand="1"/>
      </w:tblPr>
      <w:tblGrid>
        <w:gridCol w:w="3114"/>
        <w:gridCol w:w="2835"/>
        <w:gridCol w:w="4252"/>
      </w:tblGrid>
      <w:tr w:rsidR="00910AE0" w:rsidRPr="00C66AFF" w14:paraId="35BF7356" w14:textId="77777777" w:rsidTr="005C05DC">
        <w:tc>
          <w:tcPr>
            <w:tcW w:w="311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4A5A595" w14:textId="77777777" w:rsidR="00910AE0" w:rsidRPr="00646746" w:rsidRDefault="00910AE0">
            <w:pPr>
              <w:rPr>
                <w:rFonts w:ascii="Gotham Book" w:hAnsi="Gotham Book"/>
              </w:rPr>
            </w:pPr>
            <w:r w:rsidRPr="00646746">
              <w:rPr>
                <w:rFonts w:ascii="Gotham Book" w:hAnsi="Gotham Book"/>
              </w:rPr>
              <w:t xml:space="preserve">In </w:t>
            </w:r>
            <w:proofErr w:type="spellStart"/>
            <w:r w:rsidRPr="00646746">
              <w:rPr>
                <w:rFonts w:ascii="Gotham Book" w:hAnsi="Gotham Book"/>
              </w:rPr>
              <w:t>GRADEpro</w:t>
            </w:r>
            <w:proofErr w:type="spellEnd"/>
            <w:r w:rsidRPr="00646746">
              <w:rPr>
                <w:rFonts w:ascii="Gotham Book" w:hAnsi="Gotham Book"/>
              </w:rPr>
              <w:t xml:space="preserve"> (full </w:t>
            </w:r>
            <w:proofErr w:type="spellStart"/>
            <w:r w:rsidRPr="00646746">
              <w:rPr>
                <w:rFonts w:ascii="Gotham Book" w:hAnsi="Gotham Book"/>
              </w:rPr>
              <w:t>EtD</w:t>
            </w:r>
            <w:proofErr w:type="spellEnd"/>
            <w:r w:rsidRPr="00646746">
              <w:rPr>
                <w:rFonts w:ascii="Gotham Book" w:hAnsi="Gotham Book"/>
              </w:rPr>
              <w:t>)</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1CE0A97" w14:textId="46D85669" w:rsidR="00910AE0" w:rsidRPr="00646746" w:rsidRDefault="00910AE0">
            <w:pPr>
              <w:rPr>
                <w:rFonts w:ascii="Gotham Book" w:hAnsi="Gotham Book"/>
              </w:rPr>
            </w:pPr>
            <w:r w:rsidRPr="00646746">
              <w:rPr>
                <w:rFonts w:ascii="Gotham Book" w:hAnsi="Gotham Book"/>
              </w:rPr>
              <w:t xml:space="preserve">In </w:t>
            </w:r>
            <w:proofErr w:type="spellStart"/>
            <w:r w:rsidRPr="00646746">
              <w:rPr>
                <w:rFonts w:ascii="Gotham Book" w:hAnsi="Gotham Book"/>
              </w:rPr>
              <w:t>MAGICapp</w:t>
            </w:r>
            <w:proofErr w:type="spellEnd"/>
            <w:r w:rsidR="00E058AC" w:rsidRPr="00E058AC">
              <w:rPr>
                <w:rFonts w:ascii="Gotham Book" w:hAnsi="Gotham Book"/>
                <w:sz w:val="24"/>
                <w:szCs w:val="24"/>
                <w:vertAlign w:val="superscript"/>
              </w:rPr>
              <w:t>*</w:t>
            </w:r>
          </w:p>
        </w:tc>
        <w:tc>
          <w:tcPr>
            <w:tcW w:w="425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87904F1" w14:textId="77777777" w:rsidR="00910AE0" w:rsidRPr="00646746" w:rsidRDefault="00910AE0">
            <w:pPr>
              <w:rPr>
                <w:rFonts w:ascii="Gotham Book" w:hAnsi="Gotham Book"/>
              </w:rPr>
            </w:pPr>
            <w:r w:rsidRPr="00646746">
              <w:rPr>
                <w:rFonts w:ascii="Gotham Book" w:hAnsi="Gotham Book"/>
              </w:rPr>
              <w:t>Implications for recommendations</w:t>
            </w:r>
          </w:p>
        </w:tc>
      </w:tr>
      <w:tr w:rsidR="00910AE0" w:rsidRPr="00C66AFF" w14:paraId="376D92B4" w14:textId="77777777">
        <w:tc>
          <w:tcPr>
            <w:tcW w:w="3114" w:type="dxa"/>
            <w:tcBorders>
              <w:top w:val="single" w:sz="4" w:space="0" w:color="auto"/>
              <w:left w:val="single" w:sz="4" w:space="0" w:color="auto"/>
              <w:bottom w:val="single" w:sz="4" w:space="0" w:color="auto"/>
              <w:right w:val="single" w:sz="4" w:space="0" w:color="auto"/>
            </w:tcBorders>
            <w:hideMark/>
          </w:tcPr>
          <w:p w14:paraId="0CB8764C" w14:textId="77777777" w:rsidR="00910AE0" w:rsidRPr="00646746" w:rsidRDefault="00910AE0">
            <w:pPr>
              <w:rPr>
                <w:rFonts w:ascii="Gotham Book" w:hAnsi="Gotham Book"/>
              </w:rPr>
            </w:pPr>
            <w:r w:rsidRPr="00646746">
              <w:rPr>
                <w:rFonts w:ascii="Gotham Book" w:hAnsi="Gotham Book"/>
              </w:rPr>
              <w:lastRenderedPageBreak/>
              <w:t>Favours the comparator</w:t>
            </w:r>
          </w:p>
        </w:tc>
        <w:tc>
          <w:tcPr>
            <w:tcW w:w="2835" w:type="dxa"/>
            <w:tcBorders>
              <w:top w:val="single" w:sz="4" w:space="0" w:color="auto"/>
              <w:left w:val="single" w:sz="4" w:space="0" w:color="auto"/>
              <w:bottom w:val="single" w:sz="4" w:space="0" w:color="auto"/>
              <w:right w:val="single" w:sz="4" w:space="0" w:color="auto"/>
            </w:tcBorders>
            <w:hideMark/>
          </w:tcPr>
          <w:p w14:paraId="1B9F0319" w14:textId="77777777" w:rsidR="00910AE0" w:rsidRPr="00646746" w:rsidRDefault="00910AE0">
            <w:pPr>
              <w:rPr>
                <w:rFonts w:ascii="Gotham Book" w:hAnsi="Gotham Book"/>
              </w:rPr>
            </w:pPr>
            <w:r w:rsidRPr="00646746">
              <w:rPr>
                <w:rFonts w:ascii="Gotham Book" w:hAnsi="Gotham Book"/>
              </w:rPr>
              <w:t>Important harms</w:t>
            </w:r>
          </w:p>
        </w:tc>
        <w:tc>
          <w:tcPr>
            <w:tcW w:w="4252" w:type="dxa"/>
            <w:tcBorders>
              <w:top w:val="single" w:sz="4" w:space="0" w:color="auto"/>
              <w:left w:val="single" w:sz="4" w:space="0" w:color="auto"/>
              <w:bottom w:val="single" w:sz="4" w:space="0" w:color="auto"/>
              <w:right w:val="single" w:sz="4" w:space="0" w:color="auto"/>
            </w:tcBorders>
            <w:hideMark/>
          </w:tcPr>
          <w:p w14:paraId="3E46A67B" w14:textId="77777777" w:rsidR="00910AE0" w:rsidRPr="00646746" w:rsidRDefault="00910AE0">
            <w:pPr>
              <w:rPr>
                <w:rFonts w:ascii="Gotham Book" w:hAnsi="Gotham Book"/>
              </w:rPr>
            </w:pPr>
            <w:r w:rsidRPr="00646746">
              <w:rPr>
                <w:rFonts w:ascii="Gotham Book" w:hAnsi="Gotham Book"/>
              </w:rPr>
              <w:t xml:space="preserve">Recommend against the intervention </w:t>
            </w:r>
          </w:p>
        </w:tc>
      </w:tr>
      <w:tr w:rsidR="00910AE0" w:rsidRPr="00C66AFF" w14:paraId="4A113FBE" w14:textId="77777777">
        <w:tc>
          <w:tcPr>
            <w:tcW w:w="3114" w:type="dxa"/>
            <w:tcBorders>
              <w:top w:val="single" w:sz="4" w:space="0" w:color="auto"/>
              <w:left w:val="single" w:sz="4" w:space="0" w:color="auto"/>
              <w:bottom w:val="nil"/>
              <w:right w:val="single" w:sz="4" w:space="0" w:color="auto"/>
            </w:tcBorders>
            <w:hideMark/>
          </w:tcPr>
          <w:p w14:paraId="01A1CAF4" w14:textId="77777777" w:rsidR="00910AE0" w:rsidRPr="00646746" w:rsidRDefault="00910AE0">
            <w:pPr>
              <w:rPr>
                <w:rFonts w:ascii="Gotham Book" w:hAnsi="Gotham Book"/>
              </w:rPr>
            </w:pPr>
            <w:r w:rsidRPr="00646746">
              <w:rPr>
                <w:rFonts w:ascii="Gotham Book" w:hAnsi="Gotham Book"/>
              </w:rPr>
              <w:t>Probably favours the comparator</w:t>
            </w:r>
          </w:p>
        </w:tc>
        <w:tc>
          <w:tcPr>
            <w:tcW w:w="2835" w:type="dxa"/>
            <w:tcBorders>
              <w:top w:val="single" w:sz="4" w:space="0" w:color="auto"/>
              <w:left w:val="single" w:sz="4" w:space="0" w:color="auto"/>
              <w:bottom w:val="nil"/>
              <w:right w:val="single" w:sz="4" w:space="0" w:color="auto"/>
            </w:tcBorders>
          </w:tcPr>
          <w:p w14:paraId="36F391A9" w14:textId="77777777" w:rsidR="00910AE0" w:rsidRPr="00646746" w:rsidRDefault="00910AE0">
            <w:pPr>
              <w:rPr>
                <w:rFonts w:ascii="Gotham Book" w:hAnsi="Gotham Book"/>
              </w:rPr>
            </w:pPr>
          </w:p>
        </w:tc>
        <w:tc>
          <w:tcPr>
            <w:tcW w:w="4252" w:type="dxa"/>
            <w:tcBorders>
              <w:top w:val="single" w:sz="4" w:space="0" w:color="auto"/>
              <w:left w:val="single" w:sz="4" w:space="0" w:color="auto"/>
              <w:bottom w:val="nil"/>
              <w:right w:val="single" w:sz="4" w:space="0" w:color="auto"/>
            </w:tcBorders>
          </w:tcPr>
          <w:p w14:paraId="3927E1E1" w14:textId="77777777" w:rsidR="00910AE0" w:rsidRPr="00646746" w:rsidRDefault="00910AE0">
            <w:pPr>
              <w:rPr>
                <w:rFonts w:ascii="Gotham Book" w:hAnsi="Gotham Book"/>
              </w:rPr>
            </w:pPr>
          </w:p>
        </w:tc>
      </w:tr>
      <w:tr w:rsidR="00910AE0" w:rsidRPr="00C66AFF" w14:paraId="229C645D" w14:textId="77777777">
        <w:tc>
          <w:tcPr>
            <w:tcW w:w="3114" w:type="dxa"/>
            <w:tcBorders>
              <w:top w:val="nil"/>
              <w:left w:val="single" w:sz="4" w:space="0" w:color="auto"/>
              <w:bottom w:val="nil"/>
              <w:right w:val="single" w:sz="4" w:space="0" w:color="auto"/>
            </w:tcBorders>
            <w:vAlign w:val="center"/>
            <w:hideMark/>
          </w:tcPr>
          <w:p w14:paraId="12C72F0C" w14:textId="77777777" w:rsidR="00910AE0" w:rsidRPr="00646746" w:rsidRDefault="00910AE0">
            <w:pPr>
              <w:rPr>
                <w:rFonts w:ascii="Gotham Book" w:hAnsi="Gotham Book"/>
              </w:rPr>
            </w:pPr>
            <w:r w:rsidRPr="00646746">
              <w:rPr>
                <w:rFonts w:ascii="Gotham Book" w:hAnsi="Gotham Book"/>
              </w:rPr>
              <w:t>Does not favour either the intervention or the comparator</w:t>
            </w:r>
          </w:p>
        </w:tc>
        <w:tc>
          <w:tcPr>
            <w:tcW w:w="2835" w:type="dxa"/>
            <w:tcBorders>
              <w:top w:val="nil"/>
              <w:left w:val="single" w:sz="4" w:space="0" w:color="auto"/>
              <w:bottom w:val="nil"/>
              <w:right w:val="single" w:sz="4" w:space="0" w:color="auto"/>
            </w:tcBorders>
            <w:vAlign w:val="center"/>
            <w:hideMark/>
          </w:tcPr>
          <w:p w14:paraId="7E649CB9" w14:textId="77777777" w:rsidR="00910AE0" w:rsidRPr="00646746" w:rsidRDefault="00910AE0">
            <w:pPr>
              <w:rPr>
                <w:rFonts w:ascii="Gotham Book" w:hAnsi="Gotham Book"/>
              </w:rPr>
            </w:pPr>
            <w:r w:rsidRPr="00646746">
              <w:rPr>
                <w:rFonts w:ascii="Gotham Book" w:hAnsi="Gotham Book"/>
              </w:rPr>
              <w:t>Small net benefit or little difference between alternatives</w:t>
            </w:r>
          </w:p>
        </w:tc>
        <w:tc>
          <w:tcPr>
            <w:tcW w:w="4252" w:type="dxa"/>
            <w:tcBorders>
              <w:top w:val="nil"/>
              <w:left w:val="single" w:sz="4" w:space="0" w:color="auto"/>
              <w:bottom w:val="nil"/>
              <w:right w:val="single" w:sz="4" w:space="0" w:color="auto"/>
            </w:tcBorders>
            <w:vAlign w:val="center"/>
            <w:hideMark/>
          </w:tcPr>
          <w:p w14:paraId="74DD5C57" w14:textId="77777777" w:rsidR="00910AE0" w:rsidRPr="00646746" w:rsidRDefault="00910AE0">
            <w:pPr>
              <w:rPr>
                <w:rFonts w:ascii="Gotham Book" w:hAnsi="Gotham Book"/>
              </w:rPr>
            </w:pPr>
            <w:r w:rsidRPr="00646746">
              <w:rPr>
                <w:rFonts w:ascii="Gotham Book" w:hAnsi="Gotham Book"/>
              </w:rPr>
              <w:t xml:space="preserve">The close balance means that the direction of the recommendation may depend on other factors. </w:t>
            </w:r>
          </w:p>
          <w:p w14:paraId="6B2C6E9D" w14:textId="77777777" w:rsidR="00910AE0" w:rsidRPr="00646746" w:rsidRDefault="00910AE0">
            <w:pPr>
              <w:rPr>
                <w:rFonts w:ascii="Gotham Book" w:hAnsi="Gotham Book"/>
              </w:rPr>
            </w:pPr>
            <w:r w:rsidRPr="00646746">
              <w:rPr>
                <w:rFonts w:ascii="Gotham Book" w:hAnsi="Gotham Book"/>
              </w:rPr>
              <w:t xml:space="preserve">If other factors do not indicate a clear direction, then a recommendation for either option may be appropriate (e.g. if both options are existing treatments). Less often, a GDG may choose to make no recommendation. </w:t>
            </w:r>
          </w:p>
        </w:tc>
      </w:tr>
      <w:tr w:rsidR="00910AE0" w:rsidRPr="00C66AFF" w14:paraId="414F1A32" w14:textId="77777777">
        <w:tc>
          <w:tcPr>
            <w:tcW w:w="3114" w:type="dxa"/>
            <w:tcBorders>
              <w:top w:val="nil"/>
              <w:left w:val="single" w:sz="4" w:space="0" w:color="auto"/>
              <w:bottom w:val="single" w:sz="4" w:space="0" w:color="auto"/>
              <w:right w:val="single" w:sz="4" w:space="0" w:color="auto"/>
            </w:tcBorders>
            <w:hideMark/>
          </w:tcPr>
          <w:p w14:paraId="64C309D7" w14:textId="77777777" w:rsidR="00910AE0" w:rsidRPr="00646746" w:rsidRDefault="00910AE0">
            <w:pPr>
              <w:rPr>
                <w:rFonts w:ascii="Gotham Book" w:hAnsi="Gotham Book"/>
              </w:rPr>
            </w:pPr>
            <w:r w:rsidRPr="00646746">
              <w:rPr>
                <w:rFonts w:ascii="Gotham Book" w:hAnsi="Gotham Book"/>
              </w:rPr>
              <w:t>Probably favours the intervention</w:t>
            </w:r>
          </w:p>
        </w:tc>
        <w:tc>
          <w:tcPr>
            <w:tcW w:w="2835" w:type="dxa"/>
            <w:tcBorders>
              <w:top w:val="nil"/>
              <w:left w:val="single" w:sz="4" w:space="0" w:color="auto"/>
              <w:bottom w:val="single" w:sz="4" w:space="0" w:color="auto"/>
              <w:right w:val="single" w:sz="4" w:space="0" w:color="auto"/>
            </w:tcBorders>
          </w:tcPr>
          <w:p w14:paraId="295D76F1" w14:textId="77777777" w:rsidR="00910AE0" w:rsidRPr="00646746" w:rsidRDefault="00910AE0">
            <w:pPr>
              <w:rPr>
                <w:rFonts w:ascii="Gotham Book" w:hAnsi="Gotham Book"/>
              </w:rPr>
            </w:pPr>
          </w:p>
        </w:tc>
        <w:tc>
          <w:tcPr>
            <w:tcW w:w="4252" w:type="dxa"/>
            <w:tcBorders>
              <w:top w:val="nil"/>
              <w:left w:val="single" w:sz="4" w:space="0" w:color="auto"/>
              <w:bottom w:val="single" w:sz="4" w:space="0" w:color="auto"/>
              <w:right w:val="single" w:sz="4" w:space="0" w:color="auto"/>
            </w:tcBorders>
          </w:tcPr>
          <w:p w14:paraId="01A8BC5E" w14:textId="77777777" w:rsidR="00910AE0" w:rsidRPr="00646746" w:rsidRDefault="00910AE0">
            <w:pPr>
              <w:rPr>
                <w:rFonts w:ascii="Gotham Book" w:hAnsi="Gotham Book"/>
              </w:rPr>
            </w:pPr>
          </w:p>
        </w:tc>
      </w:tr>
      <w:tr w:rsidR="00910AE0" w:rsidRPr="00C66AFF" w14:paraId="4400F11A" w14:textId="77777777">
        <w:tc>
          <w:tcPr>
            <w:tcW w:w="3114" w:type="dxa"/>
            <w:tcBorders>
              <w:top w:val="single" w:sz="4" w:space="0" w:color="auto"/>
              <w:left w:val="single" w:sz="4" w:space="0" w:color="auto"/>
              <w:bottom w:val="single" w:sz="4" w:space="0" w:color="auto"/>
              <w:right w:val="single" w:sz="4" w:space="0" w:color="auto"/>
            </w:tcBorders>
            <w:hideMark/>
          </w:tcPr>
          <w:p w14:paraId="12ACC4EA" w14:textId="77777777" w:rsidR="00910AE0" w:rsidRPr="00646746" w:rsidRDefault="00910AE0">
            <w:pPr>
              <w:rPr>
                <w:rFonts w:ascii="Gotham Book" w:hAnsi="Gotham Book"/>
              </w:rPr>
            </w:pPr>
            <w:r w:rsidRPr="00646746">
              <w:rPr>
                <w:rFonts w:ascii="Gotham Book" w:hAnsi="Gotham Book"/>
              </w:rPr>
              <w:t>Favours the intervention</w:t>
            </w:r>
          </w:p>
        </w:tc>
        <w:tc>
          <w:tcPr>
            <w:tcW w:w="2835" w:type="dxa"/>
            <w:tcBorders>
              <w:top w:val="single" w:sz="4" w:space="0" w:color="auto"/>
              <w:left w:val="single" w:sz="4" w:space="0" w:color="auto"/>
              <w:bottom w:val="single" w:sz="4" w:space="0" w:color="auto"/>
              <w:right w:val="single" w:sz="4" w:space="0" w:color="auto"/>
            </w:tcBorders>
            <w:hideMark/>
          </w:tcPr>
          <w:p w14:paraId="090AEE4C" w14:textId="77777777" w:rsidR="00910AE0" w:rsidRPr="00646746" w:rsidRDefault="00910AE0">
            <w:pPr>
              <w:rPr>
                <w:rFonts w:ascii="Gotham Book" w:hAnsi="Gotham Book"/>
              </w:rPr>
            </w:pPr>
            <w:r w:rsidRPr="00646746">
              <w:rPr>
                <w:rFonts w:ascii="Gotham Book" w:hAnsi="Gotham Book"/>
              </w:rPr>
              <w:t>Substantial net benefits of the recommended alternative</w:t>
            </w:r>
          </w:p>
        </w:tc>
        <w:tc>
          <w:tcPr>
            <w:tcW w:w="4252" w:type="dxa"/>
            <w:tcBorders>
              <w:top w:val="single" w:sz="4" w:space="0" w:color="auto"/>
              <w:left w:val="single" w:sz="4" w:space="0" w:color="auto"/>
              <w:bottom w:val="single" w:sz="4" w:space="0" w:color="auto"/>
              <w:right w:val="single" w:sz="4" w:space="0" w:color="auto"/>
            </w:tcBorders>
            <w:hideMark/>
          </w:tcPr>
          <w:p w14:paraId="03649050" w14:textId="77777777" w:rsidR="00910AE0" w:rsidRPr="00646746" w:rsidRDefault="00910AE0">
            <w:pPr>
              <w:rPr>
                <w:rFonts w:ascii="Gotham Book" w:hAnsi="Gotham Book"/>
              </w:rPr>
            </w:pPr>
            <w:r w:rsidRPr="00646746">
              <w:rPr>
                <w:rFonts w:ascii="Gotham Book" w:hAnsi="Gotham Book"/>
              </w:rPr>
              <w:t>More likely to recommend the intervention if there are no other important issues</w:t>
            </w:r>
          </w:p>
        </w:tc>
      </w:tr>
    </w:tbl>
    <w:p w14:paraId="4D83462C" w14:textId="3479774E" w:rsidR="00AC4D41" w:rsidRPr="00646746" w:rsidRDefault="00E058AC" w:rsidP="00AC4D41">
      <w:pPr>
        <w:rPr>
          <w:rFonts w:ascii="Gotham Book" w:hAnsi="Gotham Book" w:cstheme="minorHAnsi"/>
        </w:rPr>
      </w:pPr>
      <w:r>
        <w:rPr>
          <w:rFonts w:ascii="Gotham Book" w:hAnsi="Gotham Book" w:cstheme="minorHAnsi"/>
          <w:vertAlign w:val="superscript"/>
        </w:rPr>
        <w:t>*</w:t>
      </w:r>
      <w:r w:rsidR="00416916" w:rsidRPr="00646746">
        <w:rPr>
          <w:rFonts w:ascii="Gotham Book" w:hAnsi="Gotham Book" w:cstheme="minorHAnsi"/>
        </w:rPr>
        <w:t xml:space="preserve">Note that the wording in </w:t>
      </w:r>
      <w:proofErr w:type="spellStart"/>
      <w:r w:rsidR="00416916" w:rsidRPr="00646746">
        <w:rPr>
          <w:rFonts w:ascii="Gotham Book" w:hAnsi="Gotham Book" w:cstheme="minorHAnsi"/>
        </w:rPr>
        <w:t>MAGICapp</w:t>
      </w:r>
      <w:proofErr w:type="spellEnd"/>
      <w:r w:rsidR="00416916" w:rsidRPr="00646746">
        <w:rPr>
          <w:rFonts w:ascii="Gotham Book" w:hAnsi="Gotham Book" w:cstheme="minorHAnsi"/>
        </w:rPr>
        <w:t xml:space="preserve"> implies that the option to be recommended is known (‘of the recommended alternative’). This differs from </w:t>
      </w:r>
      <w:proofErr w:type="spellStart"/>
      <w:r w:rsidR="00416916" w:rsidRPr="00646746">
        <w:rPr>
          <w:rFonts w:ascii="Gotham Book" w:hAnsi="Gotham Book" w:cstheme="minorHAnsi"/>
        </w:rPr>
        <w:t>GRADEpro</w:t>
      </w:r>
      <w:proofErr w:type="spellEnd"/>
      <w:r w:rsidR="00416916" w:rsidRPr="00646746">
        <w:rPr>
          <w:rFonts w:ascii="Gotham Book" w:hAnsi="Gotham Book" w:cstheme="minorHAnsi"/>
        </w:rPr>
        <w:t>, where the responses lead to a recommendation.</w:t>
      </w:r>
    </w:p>
    <w:p w14:paraId="2A03277F" w14:textId="0AD4DDC2" w:rsidR="00416916" w:rsidRPr="00646746" w:rsidRDefault="00416916" w:rsidP="005C05DC">
      <w:pPr>
        <w:pStyle w:val="Heading4"/>
        <w:rPr>
          <w:i/>
          <w:color w:val="365F91" w:themeColor="accent1" w:themeShade="BF"/>
        </w:rPr>
      </w:pPr>
      <w:r w:rsidRPr="00646746">
        <w:t xml:space="preserve">Discuss and make a judgement about whether </w:t>
      </w:r>
      <w:r w:rsidR="002F6343">
        <w:t>other criteria (impact on resources and equity, acceptability, feasibility) fav</w:t>
      </w:r>
      <w:r w:rsidR="00307810">
        <w:t>our</w:t>
      </w:r>
      <w:r w:rsidRPr="00646746">
        <w:t xml:space="preserve"> the intervention or the alternative </w:t>
      </w:r>
    </w:p>
    <w:p w14:paraId="24D3F540" w14:textId="77777777" w:rsidR="00416916" w:rsidRPr="00646746" w:rsidRDefault="00416916" w:rsidP="00AC4D41">
      <w:pPr>
        <w:rPr>
          <w:rFonts w:ascii="Gotham Book" w:hAnsi="Gotham Book" w:cstheme="minorHAnsi"/>
        </w:rPr>
      </w:pPr>
      <w:r w:rsidRPr="00646746">
        <w:rPr>
          <w:rFonts w:ascii="Gotham Book" w:hAnsi="Gotham Book" w:cstheme="minorHAnsi"/>
        </w:rPr>
        <w:t xml:space="preserve">In some instances, the recommendation will be clear from the net effects and other </w:t>
      </w:r>
      <w:proofErr w:type="spellStart"/>
      <w:r w:rsidRPr="00646746">
        <w:rPr>
          <w:rFonts w:ascii="Gotham Book" w:hAnsi="Gotham Book" w:cstheme="minorHAnsi"/>
        </w:rPr>
        <w:t>EtD</w:t>
      </w:r>
      <w:proofErr w:type="spellEnd"/>
      <w:r w:rsidRPr="00646746">
        <w:rPr>
          <w:rFonts w:ascii="Gotham Book" w:hAnsi="Gotham Book" w:cstheme="minorHAnsi"/>
        </w:rPr>
        <w:t xml:space="preserve"> criteria need not be considered. For instance, where there is high certainty evidence of large undesirable effects (harm) the GDG need not consider other criteria to recommend against the intervention. Most often, the panel will consider all criteria in their framework, although some </w:t>
      </w:r>
      <w:proofErr w:type="spellStart"/>
      <w:r w:rsidRPr="00646746">
        <w:rPr>
          <w:rFonts w:ascii="Gotham Book" w:hAnsi="Gotham Book" w:cstheme="minorHAnsi"/>
        </w:rPr>
        <w:t>EtD</w:t>
      </w:r>
      <w:proofErr w:type="spellEnd"/>
      <w:r w:rsidRPr="00646746">
        <w:rPr>
          <w:rFonts w:ascii="Gotham Book" w:hAnsi="Gotham Book" w:cstheme="minorHAnsi"/>
        </w:rPr>
        <w:t xml:space="preserve"> criteria may be more important than others for a particular recommendation. Slightly different response options are used to judge the other </w:t>
      </w:r>
      <w:proofErr w:type="spellStart"/>
      <w:r w:rsidRPr="00646746">
        <w:rPr>
          <w:rFonts w:ascii="Gotham Book" w:hAnsi="Gotham Book" w:cstheme="minorHAnsi"/>
        </w:rPr>
        <w:t>EtD</w:t>
      </w:r>
      <w:proofErr w:type="spellEnd"/>
      <w:r w:rsidRPr="00646746">
        <w:rPr>
          <w:rFonts w:ascii="Gotham Book" w:hAnsi="Gotham Book" w:cstheme="minorHAnsi"/>
        </w:rPr>
        <w:t xml:space="preserve"> criteria, but all judgments are intended to help the GDG decide whether the evidence and other considerations favour the intervention or the alternative option.</w:t>
      </w:r>
    </w:p>
    <w:p w14:paraId="1CE271BA" w14:textId="77777777" w:rsidR="00CF4547" w:rsidRPr="00646746" w:rsidRDefault="00CF4547" w:rsidP="005C05DC">
      <w:pPr>
        <w:pStyle w:val="Heading4"/>
        <w:rPr>
          <w:i/>
          <w:color w:val="365F91" w:themeColor="accent1" w:themeShade="BF"/>
        </w:rPr>
      </w:pPr>
      <w:r w:rsidRPr="00646746">
        <w:t xml:space="preserve">Record each judgement and the basis for the judgement </w:t>
      </w:r>
    </w:p>
    <w:p w14:paraId="4F9BE6FF" w14:textId="35E556C0" w:rsidR="00921190" w:rsidRPr="00646746" w:rsidRDefault="00CF4547" w:rsidP="00493297">
      <w:pPr>
        <w:rPr>
          <w:rFonts w:ascii="Gotham Book" w:hAnsi="Gotham Book" w:cstheme="minorHAnsi"/>
        </w:rPr>
      </w:pPr>
      <w:r w:rsidRPr="00646746">
        <w:rPr>
          <w:rFonts w:ascii="Gotham Book" w:hAnsi="Gotham Book" w:cstheme="minorHAnsi"/>
        </w:rPr>
        <w:t xml:space="preserve">During the meeting, each judgment made by the GDG and the factors that influenced the judgements should be recorded. Where there is substantive disagreement about the evidence, the different viewpoints should be recorded even if consensus was subsequently reached. If additional considerations raised during the meeting influenced the GDG judgements, these considerations should be documented in the </w:t>
      </w:r>
      <w:proofErr w:type="spellStart"/>
      <w:r w:rsidRPr="00646746">
        <w:rPr>
          <w:rFonts w:ascii="Gotham Book" w:hAnsi="Gotham Book" w:cstheme="minorHAnsi"/>
        </w:rPr>
        <w:t>EtD</w:t>
      </w:r>
      <w:proofErr w:type="spellEnd"/>
      <w:r w:rsidRPr="00646746">
        <w:rPr>
          <w:rFonts w:ascii="Gotham Book" w:hAnsi="Gotham Book" w:cstheme="minorHAnsi"/>
        </w:rPr>
        <w:t>.</w:t>
      </w:r>
    </w:p>
    <w:p w14:paraId="20AADD50" w14:textId="65CEF070" w:rsidR="00CF4547" w:rsidRPr="005C05DC" w:rsidRDefault="00CF4547" w:rsidP="005C05DC">
      <w:pPr>
        <w:pStyle w:val="Heading2"/>
      </w:pPr>
      <w:bookmarkStart w:id="15" w:name="_Toc184284428"/>
      <w:r w:rsidRPr="005C05DC">
        <w:lastRenderedPageBreak/>
        <w:t>Make clear, concise and actionable recommendation(s) and/or good practice statements</w:t>
      </w:r>
      <w:bookmarkEnd w:id="15"/>
    </w:p>
    <w:p w14:paraId="1BB7BBE5" w14:textId="21CD12C6" w:rsidR="00CA14D0" w:rsidRPr="00646746" w:rsidRDefault="00B71290" w:rsidP="006718AF">
      <w:pPr>
        <w:rPr>
          <w:rFonts w:ascii="Gotham Book" w:hAnsi="Gotham Book" w:cs="Calibri"/>
          <w:color w:val="000000"/>
        </w:rPr>
      </w:pPr>
      <w:r w:rsidRPr="00646746">
        <w:rPr>
          <w:rFonts w:ascii="Gotham Book" w:hAnsi="Gotham Book" w:cs="Calibri"/>
          <w:color w:val="000000"/>
        </w:rPr>
        <w:t xml:space="preserve">As a final step in the GDG meetings, the group should use the judgements made in their </w:t>
      </w:r>
      <w:proofErr w:type="spellStart"/>
      <w:r w:rsidRPr="00646746">
        <w:rPr>
          <w:rFonts w:ascii="Gotham Book" w:hAnsi="Gotham Book" w:cs="Calibri"/>
          <w:color w:val="000000"/>
        </w:rPr>
        <w:t>EtD</w:t>
      </w:r>
      <w:proofErr w:type="spellEnd"/>
      <w:r w:rsidRPr="00646746">
        <w:rPr>
          <w:rFonts w:ascii="Gotham Book" w:hAnsi="Gotham Book" w:cs="Calibri"/>
          <w:color w:val="000000"/>
        </w:rPr>
        <w:t xml:space="preserve"> framework to decide on their recommendation. The GDG may also decide to include good practice statements (GPS) in the guideline. As with recommendations, these actionable statements should be developed through a systematic and transparent process. What differentiates these two types of actionable statements is that recommendations are based on systematic review and assessment of the certainty of evidence (for desirable and undesirable effects at a minimum) whereas good practice statements are not. Specific criteria must be met for a GPS (described below).</w:t>
      </w:r>
    </w:p>
    <w:p w14:paraId="7733E037" w14:textId="77777777" w:rsidR="00A866F8" w:rsidRPr="00646746" w:rsidRDefault="00A866F8" w:rsidP="005C05DC">
      <w:pPr>
        <w:pStyle w:val="Heading4"/>
        <w:rPr>
          <w:i/>
          <w:color w:val="365F91" w:themeColor="accent1" w:themeShade="BF"/>
        </w:rPr>
      </w:pPr>
      <w:r w:rsidRPr="00646746">
        <w:t xml:space="preserve">Weigh up the judgements across the </w:t>
      </w:r>
      <w:proofErr w:type="spellStart"/>
      <w:r w:rsidRPr="00646746">
        <w:t>EtD</w:t>
      </w:r>
      <w:proofErr w:type="spellEnd"/>
      <w:r w:rsidRPr="00646746">
        <w:t xml:space="preserve"> criteria to decide on the direction and strength of the recommendation </w:t>
      </w:r>
    </w:p>
    <w:p w14:paraId="294DF044" w14:textId="64427488" w:rsidR="003D3DBD" w:rsidRPr="00646746" w:rsidRDefault="003D3DBD" w:rsidP="003D3DBD">
      <w:pPr>
        <w:rPr>
          <w:rFonts w:ascii="Gotham Book" w:hAnsi="Gotham Book" w:cstheme="minorHAnsi"/>
        </w:rPr>
      </w:pPr>
      <w:r w:rsidRPr="00646746">
        <w:rPr>
          <w:rFonts w:ascii="Gotham Book" w:hAnsi="Gotham Book" w:cstheme="minorHAnsi"/>
        </w:rPr>
        <w:t>Formal recommendations should provide “an actionable statement about the choice between two or more management or policy options (interventions) in a specific population and, if relevant, in a specific setting”</w:t>
      </w:r>
      <w:r w:rsidR="009F47FF" w:rsidRPr="009F47FF">
        <w:rPr>
          <w:rFonts w:ascii="Gotham Book" w:hAnsi="Gotham Book" w:cstheme="minorHAnsi"/>
          <w:vertAlign w:val="superscript"/>
        </w:rPr>
        <w:t>36</w:t>
      </w:r>
      <w:r w:rsidR="009F47FF">
        <w:rPr>
          <w:rFonts w:ascii="Gotham Book" w:hAnsi="Gotham Book" w:cstheme="minorHAnsi"/>
        </w:rPr>
        <w:t xml:space="preserve">. </w:t>
      </w:r>
      <w:r w:rsidRPr="00646746">
        <w:rPr>
          <w:rFonts w:ascii="Gotham Book" w:hAnsi="Gotham Book" w:cstheme="minorHAnsi"/>
        </w:rPr>
        <w:t xml:space="preserve">It follows that each recommendation has a direction - the GDG must recommend for or against the intervention. GRADE recommendations have one of two strengths, strong or conditional. </w:t>
      </w:r>
      <w:r w:rsidRPr="003D5219">
        <w:rPr>
          <w:rFonts w:ascii="Gotham Book" w:hAnsi="Gotham Book" w:cstheme="minorHAnsi"/>
          <w:u w:val="single"/>
        </w:rPr>
        <w:t xml:space="preserve">Table </w:t>
      </w:r>
      <w:r w:rsidR="00BD7CAC" w:rsidRPr="003D5219">
        <w:rPr>
          <w:rFonts w:ascii="Gotham Book" w:hAnsi="Gotham Book" w:cstheme="minorHAnsi"/>
          <w:u w:val="single"/>
        </w:rPr>
        <w:t>3</w:t>
      </w:r>
      <w:r w:rsidRPr="00646746">
        <w:rPr>
          <w:rFonts w:ascii="Gotham Book" w:hAnsi="Gotham Book" w:cstheme="minorHAnsi"/>
        </w:rPr>
        <w:t xml:space="preserve"> shows the interpretation of strong and conditional recommendations, and the circumstances in which each can be used</w:t>
      </w:r>
      <w:r w:rsidR="009F47FF" w:rsidRPr="009F47FF">
        <w:rPr>
          <w:rFonts w:ascii="Gotham Book" w:hAnsi="Gotham Book" w:cstheme="minorHAnsi"/>
          <w:vertAlign w:val="superscript"/>
        </w:rPr>
        <w:t>4,37</w:t>
      </w:r>
      <w:r w:rsidR="009F47FF">
        <w:rPr>
          <w:rFonts w:ascii="Gotham Book" w:hAnsi="Gotham Book" w:cstheme="minorHAnsi"/>
        </w:rPr>
        <w:t>.</w:t>
      </w:r>
      <w:r w:rsidR="009B7937">
        <w:rPr>
          <w:rFonts w:ascii="Gotham Book" w:hAnsi="Gotham Book" w:cstheme="minorHAnsi"/>
        </w:rPr>
        <w:t xml:space="preserve"> </w:t>
      </w:r>
    </w:p>
    <w:p w14:paraId="2E072B68" w14:textId="7B504B8B" w:rsidR="003D3DBD" w:rsidRPr="00646746" w:rsidRDefault="003D3DBD" w:rsidP="003D3DBD">
      <w:pPr>
        <w:rPr>
          <w:rFonts w:ascii="Gotham Book" w:hAnsi="Gotham Book" w:cstheme="minorHAnsi"/>
        </w:rPr>
      </w:pPr>
      <w:r w:rsidRPr="00646746">
        <w:rPr>
          <w:rFonts w:ascii="Gotham Book" w:hAnsi="Gotham Book" w:cstheme="minorHAnsi"/>
        </w:rPr>
        <w:t>Different terminology has been used for conditional recommendations (including ‘weak’), however conditional conveys that the recommendation is subject to one or more conditions that may be unrelated to certainty in the evidence. For example, a conditional recommendation would be warranted when we have high certainty in the benefit and harms of an option, but know that some patients would decline the option whereas other would not. Strong recommendations are mainly used where the desirable consequences clearly outweigh undesirable; however, there are some exceptions such as where there is uncertain benefit but certain harm</w:t>
      </w:r>
      <w:r w:rsidR="00CD35D7">
        <w:rPr>
          <w:rFonts w:ascii="Gotham Book" w:hAnsi="Gotham Book" w:cstheme="minorHAnsi"/>
          <w:vertAlign w:val="superscript"/>
        </w:rPr>
        <w:t>37</w:t>
      </w:r>
      <w:r w:rsidR="00CD35D7">
        <w:rPr>
          <w:rFonts w:ascii="Gotham Book" w:hAnsi="Gotham Book" w:cstheme="minorHAnsi"/>
        </w:rPr>
        <w:t>.</w:t>
      </w:r>
      <w:r w:rsidRPr="00646746">
        <w:rPr>
          <w:rFonts w:ascii="Gotham Book" w:hAnsi="Gotham Book" w:cstheme="minorHAnsi"/>
        </w:rPr>
        <w:t xml:space="preserve"> </w:t>
      </w:r>
    </w:p>
    <w:p w14:paraId="6419124A" w14:textId="0CEDF891" w:rsidR="003D3DBD" w:rsidRPr="00646746" w:rsidRDefault="003D3DBD" w:rsidP="003D3DBD">
      <w:pPr>
        <w:rPr>
          <w:rFonts w:ascii="Gotham Book" w:hAnsi="Gotham Book" w:cstheme="minorHAnsi"/>
        </w:rPr>
      </w:pPr>
      <w:r w:rsidRPr="00646746">
        <w:rPr>
          <w:rFonts w:ascii="Gotham Book" w:hAnsi="Gotham Book" w:cstheme="minorHAnsi"/>
        </w:rPr>
        <w:t xml:space="preserve">Other recommendations implemented in </w:t>
      </w:r>
      <w:proofErr w:type="spellStart"/>
      <w:r w:rsidRPr="00646746">
        <w:rPr>
          <w:rFonts w:ascii="Gotham Book" w:hAnsi="Gotham Book" w:cstheme="minorHAnsi"/>
        </w:rPr>
        <w:t>MAGICapp</w:t>
      </w:r>
      <w:proofErr w:type="spellEnd"/>
      <w:r w:rsidRPr="00646746">
        <w:rPr>
          <w:rFonts w:ascii="Gotham Book" w:hAnsi="Gotham Book" w:cstheme="minorHAnsi"/>
        </w:rPr>
        <w:t xml:space="preserve"> are in </w:t>
      </w:r>
      <w:r w:rsidRPr="003D5219">
        <w:rPr>
          <w:rFonts w:ascii="Gotham Book" w:hAnsi="Gotham Book" w:cstheme="minorHAnsi"/>
          <w:u w:val="single"/>
        </w:rPr>
        <w:t xml:space="preserve">Table </w:t>
      </w:r>
      <w:r w:rsidR="00CE594D" w:rsidRPr="003D5219">
        <w:rPr>
          <w:rFonts w:ascii="Gotham Book" w:hAnsi="Gotham Book" w:cstheme="minorHAnsi"/>
          <w:u w:val="single"/>
        </w:rPr>
        <w:t>3</w:t>
      </w:r>
      <w:r w:rsidRPr="00646746">
        <w:rPr>
          <w:rFonts w:ascii="Gotham Book" w:hAnsi="Gotham Book" w:cstheme="minorHAnsi"/>
        </w:rPr>
        <w:t xml:space="preserve">, including public health recommendations, statutory requirements and research only recommendations. </w:t>
      </w:r>
    </w:p>
    <w:p w14:paraId="0791E225" w14:textId="30DF9519" w:rsidR="00B71290" w:rsidRPr="00646746" w:rsidRDefault="003D3DBD" w:rsidP="003D3DBD">
      <w:pPr>
        <w:rPr>
          <w:rFonts w:ascii="Gotham Book" w:hAnsi="Gotham Book" w:cstheme="minorHAnsi"/>
        </w:rPr>
      </w:pPr>
      <w:proofErr w:type="spellStart"/>
      <w:r w:rsidRPr="00646746">
        <w:rPr>
          <w:rFonts w:ascii="Gotham Book" w:hAnsi="Gotham Book" w:cstheme="minorHAnsi"/>
        </w:rPr>
        <w:t>GRADEpro</w:t>
      </w:r>
      <w:proofErr w:type="spellEnd"/>
      <w:r w:rsidRPr="00646746">
        <w:rPr>
          <w:rFonts w:ascii="Gotham Book" w:hAnsi="Gotham Book" w:cstheme="minorHAnsi"/>
        </w:rPr>
        <w:t xml:space="preserve"> includes an overview of judgements that the GDG may find helps guide their overall judgement. Having deliberated over the body of evidence for each criterion, the overall judgement can be relatively straightforward.</w:t>
      </w:r>
    </w:p>
    <w:p w14:paraId="7458FBD4" w14:textId="77777777" w:rsidR="003D3DBD" w:rsidRPr="00C66AFF" w:rsidRDefault="003D3DBD" w:rsidP="003D3DBD">
      <w:pPr>
        <w:rPr>
          <w:rFonts w:ascii="Gotham Book" w:hAnsi="Gotham Book"/>
          <w:sz w:val="20"/>
          <w:szCs w:val="20"/>
        </w:rPr>
      </w:pPr>
    </w:p>
    <w:p w14:paraId="6EBA65FC" w14:textId="42A71C99" w:rsidR="003D3DBD" w:rsidRPr="005C05DC" w:rsidRDefault="003D3DBD" w:rsidP="003D3DBD">
      <w:pPr>
        <w:rPr>
          <w:rFonts w:ascii="Gotham Book" w:hAnsi="Gotham Book" w:cstheme="minorHAnsi"/>
          <w:b/>
          <w:bCs/>
          <w:sz w:val="23"/>
          <w:szCs w:val="23"/>
        </w:rPr>
      </w:pPr>
      <w:r w:rsidRPr="005C05DC">
        <w:rPr>
          <w:rFonts w:ascii="Gotham Book" w:hAnsi="Gotham Book" w:cstheme="minorHAnsi"/>
          <w:b/>
          <w:bCs/>
          <w:sz w:val="23"/>
          <w:szCs w:val="23"/>
        </w:rPr>
        <w:lastRenderedPageBreak/>
        <w:t xml:space="preserve">Table </w:t>
      </w:r>
      <w:r w:rsidR="00BD7CAC" w:rsidRPr="005C05DC">
        <w:rPr>
          <w:rFonts w:ascii="Gotham Book" w:hAnsi="Gotham Book" w:cstheme="minorHAnsi"/>
          <w:b/>
          <w:bCs/>
          <w:sz w:val="23"/>
          <w:szCs w:val="23"/>
        </w:rPr>
        <w:t>3</w:t>
      </w:r>
      <w:r w:rsidRPr="005C05DC">
        <w:rPr>
          <w:rFonts w:ascii="Gotham Book" w:hAnsi="Gotham Book" w:cstheme="minorHAnsi"/>
          <w:b/>
          <w:bCs/>
          <w:sz w:val="23"/>
          <w:szCs w:val="23"/>
        </w:rPr>
        <w:t>. Types of formal recommendations and their features.</w:t>
      </w:r>
    </w:p>
    <w:tbl>
      <w:tblPr>
        <w:tblStyle w:val="TableGrid"/>
        <w:tblW w:w="5000" w:type="pct"/>
        <w:tblLook w:val="04A0" w:firstRow="1" w:lastRow="0" w:firstColumn="1" w:lastColumn="0" w:noHBand="0" w:noVBand="1"/>
      </w:tblPr>
      <w:tblGrid>
        <w:gridCol w:w="2146"/>
        <w:gridCol w:w="3080"/>
        <w:gridCol w:w="3790"/>
      </w:tblGrid>
      <w:tr w:rsidR="001E0AFB" w:rsidRPr="00C66AFF" w14:paraId="1C2647B0" w14:textId="77777777" w:rsidTr="005C05DC">
        <w:trPr>
          <w:tblHeader/>
        </w:trPr>
        <w:tc>
          <w:tcPr>
            <w:tcW w:w="1045" w:type="pct"/>
            <w:tcBorders>
              <w:bottom w:val="single" w:sz="4" w:space="0" w:color="auto"/>
            </w:tcBorders>
            <w:shd w:val="clear" w:color="auto" w:fill="DAEEF3" w:themeFill="accent5" w:themeFillTint="33"/>
          </w:tcPr>
          <w:p w14:paraId="2607244E" w14:textId="77777777" w:rsidR="001E0AFB" w:rsidRPr="00646746" w:rsidRDefault="001E0AFB">
            <w:pPr>
              <w:spacing w:after="200"/>
              <w:rPr>
                <w:rFonts w:ascii="Gotham Book" w:eastAsia="Calibri" w:hAnsi="Gotham Book" w:cs="Arial"/>
                <w:b/>
              </w:rPr>
            </w:pPr>
            <w:r w:rsidRPr="00646746">
              <w:rPr>
                <w:rFonts w:ascii="Gotham Book" w:eastAsia="Calibri" w:hAnsi="Gotham Book" w:cs="Arial"/>
                <w:b/>
              </w:rPr>
              <w:t>Type of recommendation</w:t>
            </w:r>
          </w:p>
        </w:tc>
        <w:tc>
          <w:tcPr>
            <w:tcW w:w="1781" w:type="pct"/>
            <w:tcBorders>
              <w:bottom w:val="single" w:sz="4" w:space="0" w:color="auto"/>
            </w:tcBorders>
            <w:shd w:val="clear" w:color="auto" w:fill="DAEEF3" w:themeFill="accent5" w:themeFillTint="33"/>
          </w:tcPr>
          <w:p w14:paraId="7B087BA1" w14:textId="77777777" w:rsidR="001E0AFB" w:rsidRPr="00646746" w:rsidRDefault="001E0AFB">
            <w:pPr>
              <w:spacing w:after="200"/>
              <w:rPr>
                <w:rFonts w:ascii="Gotham Book" w:eastAsia="Calibri" w:hAnsi="Gotham Book" w:cs="Arial"/>
                <w:b/>
              </w:rPr>
            </w:pPr>
            <w:r w:rsidRPr="00646746">
              <w:rPr>
                <w:rFonts w:ascii="Gotham Book" w:eastAsia="Calibri" w:hAnsi="Gotham Book" w:cs="Arial"/>
                <w:b/>
              </w:rPr>
              <w:t>Description and features</w:t>
            </w:r>
          </w:p>
        </w:tc>
        <w:tc>
          <w:tcPr>
            <w:tcW w:w="2174" w:type="pct"/>
            <w:tcBorders>
              <w:bottom w:val="single" w:sz="4" w:space="0" w:color="auto"/>
            </w:tcBorders>
            <w:shd w:val="clear" w:color="auto" w:fill="DAEEF3" w:themeFill="accent5" w:themeFillTint="33"/>
          </w:tcPr>
          <w:p w14:paraId="0F7BD1A4" w14:textId="77777777" w:rsidR="001E0AFB" w:rsidRPr="00646746" w:rsidRDefault="001E0AFB">
            <w:pPr>
              <w:spacing w:after="200"/>
              <w:rPr>
                <w:rFonts w:ascii="Gotham Book" w:eastAsia="Calibri" w:hAnsi="Gotham Book" w:cs="Arial"/>
                <w:b/>
              </w:rPr>
            </w:pPr>
            <w:r w:rsidRPr="00646746">
              <w:rPr>
                <w:rFonts w:ascii="Gotham Book" w:eastAsia="Calibri" w:hAnsi="Gotham Book" w:cs="Arial"/>
                <w:b/>
              </w:rPr>
              <w:t>Example(s)</w:t>
            </w:r>
          </w:p>
        </w:tc>
      </w:tr>
      <w:tr w:rsidR="001E0AFB" w:rsidRPr="00C66AFF" w14:paraId="17EE9744" w14:textId="77777777">
        <w:tc>
          <w:tcPr>
            <w:tcW w:w="1045" w:type="pct"/>
            <w:tcBorders>
              <w:bottom w:val="nil"/>
            </w:tcBorders>
          </w:tcPr>
          <w:p w14:paraId="0398ECE1" w14:textId="77777777" w:rsidR="001E0AFB" w:rsidRPr="00646746" w:rsidRDefault="001E0AFB">
            <w:pPr>
              <w:rPr>
                <w:rFonts w:ascii="Gotham Book" w:eastAsia="Calibri" w:hAnsi="Gotham Book" w:cs="Calibri"/>
              </w:rPr>
            </w:pPr>
            <w:r w:rsidRPr="00646746">
              <w:rPr>
                <w:rFonts w:ascii="Gotham Book" w:eastAsia="Calibri" w:hAnsi="Gotham Book" w:cs="Calibri"/>
              </w:rPr>
              <w:t>Strong recommendation</w:t>
            </w:r>
          </w:p>
          <w:p w14:paraId="1CC42139" w14:textId="77777777" w:rsidR="001E0AFB" w:rsidRPr="00646746" w:rsidRDefault="001E0AFB">
            <w:pPr>
              <w:rPr>
                <w:rFonts w:ascii="Gotham Book" w:eastAsia="Calibri" w:hAnsi="Gotham Book" w:cs="Calibri"/>
              </w:rPr>
            </w:pPr>
            <w:r w:rsidRPr="00646746">
              <w:rPr>
                <w:rFonts w:ascii="Gotham Book" w:eastAsia="Calibri" w:hAnsi="Gotham Book" w:cs="Calibri"/>
              </w:rPr>
              <w:t>(GRADE option)</w:t>
            </w:r>
          </w:p>
        </w:tc>
        <w:tc>
          <w:tcPr>
            <w:tcW w:w="1781" w:type="pct"/>
            <w:vMerge w:val="restart"/>
          </w:tcPr>
          <w:p w14:paraId="2B3B4500" w14:textId="77777777" w:rsidR="001E0AFB" w:rsidRPr="00646746" w:rsidRDefault="001E0AFB">
            <w:pPr>
              <w:spacing w:after="200"/>
              <w:rPr>
                <w:rFonts w:ascii="Gotham Book" w:eastAsia="Calibri" w:hAnsi="Gotham Book" w:cs="Arial"/>
              </w:rPr>
            </w:pPr>
            <w:r w:rsidRPr="00646746">
              <w:rPr>
                <w:rFonts w:ascii="Gotham Book" w:eastAsia="Calibri" w:hAnsi="Gotham Book" w:cs="Arial"/>
                <w:b/>
              </w:rPr>
              <w:t>Interpretation</w:t>
            </w:r>
            <w:r w:rsidRPr="00646746">
              <w:rPr>
                <w:rFonts w:ascii="Gotham Book" w:eastAsia="Calibri" w:hAnsi="Gotham Book" w:cs="Arial"/>
              </w:rPr>
              <w:t>: All or almost all informed people would choose the recommended option.</w:t>
            </w:r>
          </w:p>
          <w:p w14:paraId="1BD2DACF" w14:textId="77777777" w:rsidR="001E0AFB" w:rsidRPr="00646746" w:rsidRDefault="001E0AFB">
            <w:pPr>
              <w:spacing w:after="200"/>
              <w:rPr>
                <w:rFonts w:ascii="Gotham Book" w:eastAsia="Calibri" w:hAnsi="Gotham Book" w:cs="Arial"/>
              </w:rPr>
            </w:pPr>
            <w:r w:rsidRPr="00646746">
              <w:rPr>
                <w:rFonts w:ascii="Gotham Book" w:eastAsia="Calibri" w:hAnsi="Gotham Book" w:cs="Arial"/>
                <w:b/>
              </w:rPr>
              <w:t>Used when</w:t>
            </w:r>
            <w:r w:rsidRPr="00646746">
              <w:rPr>
                <w:rFonts w:ascii="Gotham Book" w:eastAsia="Calibri" w:hAnsi="Gotham Book" w:cs="Arial"/>
              </w:rPr>
              <w:t xml:space="preserve">: high or moderate certainty that the effects clearly favour the recommended option, little variability in how effects are valued, other consequences favour the option. </w:t>
            </w:r>
          </w:p>
          <w:p w14:paraId="0320E775" w14:textId="77777777" w:rsidR="001E0AFB" w:rsidRPr="00646746" w:rsidRDefault="001E0AFB">
            <w:pPr>
              <w:spacing w:after="200"/>
              <w:rPr>
                <w:rFonts w:ascii="Gotham Book" w:eastAsia="Calibri" w:hAnsi="Gotham Book" w:cs="Arial"/>
              </w:rPr>
            </w:pPr>
            <w:r w:rsidRPr="00646746">
              <w:rPr>
                <w:rFonts w:ascii="Gotham Book" w:eastAsia="Calibri" w:hAnsi="Gotham Book" w:cs="Arial"/>
                <w:b/>
              </w:rPr>
              <w:t>Wording</w:t>
            </w:r>
            <w:r w:rsidRPr="00646746">
              <w:rPr>
                <w:rFonts w:ascii="Gotham Book" w:eastAsia="Calibri" w:hAnsi="Gotham Book" w:cs="Arial"/>
              </w:rPr>
              <w:t>: ‘should’, ‘should not’, ‘offer’, ‘do’, ‘do not’, ‘The GDG recommends’</w:t>
            </w:r>
          </w:p>
        </w:tc>
        <w:tc>
          <w:tcPr>
            <w:tcW w:w="2174" w:type="pct"/>
            <w:tcBorders>
              <w:bottom w:val="nil"/>
            </w:tcBorders>
          </w:tcPr>
          <w:p w14:paraId="205C2615" w14:textId="5A8871B7" w:rsidR="001E0AFB" w:rsidRPr="00646746" w:rsidRDefault="001E0AFB">
            <w:pPr>
              <w:spacing w:after="200"/>
              <w:rPr>
                <w:rFonts w:ascii="Gotham Book" w:eastAsia="Calibri" w:hAnsi="Gotham Book" w:cs="Arial"/>
              </w:rPr>
            </w:pPr>
            <w:hyperlink r:id="rId25" w:anchor="/guideline/ojmKvn/section/Lpq18n" w:history="1">
              <w:r w:rsidRPr="00646746">
                <w:rPr>
                  <w:rStyle w:val="Hyperlink"/>
                  <w:rFonts w:ascii="Gotham Book" w:eastAsia="Calibri" w:hAnsi="Gotham Book" w:cs="Arial"/>
                </w:rPr>
                <w:t>Australian and New Zealand Living Clinical Guidelines for Stroke Management</w:t>
              </w:r>
            </w:hyperlink>
          </w:p>
          <w:p w14:paraId="0A2DBE6A" w14:textId="77777777" w:rsidR="001E0AFB" w:rsidRPr="00646746" w:rsidRDefault="001E0AFB">
            <w:pPr>
              <w:spacing w:after="200"/>
              <w:rPr>
                <w:rFonts w:ascii="Gotham Book" w:eastAsia="Calibri" w:hAnsi="Gotham Book" w:cs="Arial"/>
              </w:rPr>
            </w:pPr>
            <w:r w:rsidRPr="00646746">
              <w:rPr>
                <w:rFonts w:ascii="Gotham Book" w:eastAsia="Calibri" w:hAnsi="Gotham Book" w:cs="Arial"/>
              </w:rPr>
              <w:t>When TIA patients present to primary care, the use of TIA electronic decision support, when available, is recommended to improve diagnostic and triage decisions.</w:t>
            </w:r>
          </w:p>
        </w:tc>
      </w:tr>
      <w:tr w:rsidR="001E0AFB" w:rsidRPr="00C66AFF" w14:paraId="6FEFD610" w14:textId="77777777">
        <w:tc>
          <w:tcPr>
            <w:tcW w:w="1045" w:type="pct"/>
            <w:tcBorders>
              <w:top w:val="nil"/>
              <w:bottom w:val="single" w:sz="4" w:space="0" w:color="auto"/>
            </w:tcBorders>
          </w:tcPr>
          <w:p w14:paraId="372DCC5E" w14:textId="77777777" w:rsidR="001E0AFB" w:rsidRPr="00646746" w:rsidRDefault="001E0AFB">
            <w:pPr>
              <w:rPr>
                <w:rFonts w:ascii="Gotham Book" w:eastAsia="Calibri" w:hAnsi="Gotham Book" w:cs="Calibri"/>
              </w:rPr>
            </w:pPr>
          </w:p>
        </w:tc>
        <w:tc>
          <w:tcPr>
            <w:tcW w:w="1781" w:type="pct"/>
            <w:vMerge/>
            <w:tcBorders>
              <w:bottom w:val="single" w:sz="4" w:space="0" w:color="auto"/>
            </w:tcBorders>
          </w:tcPr>
          <w:p w14:paraId="7306029E" w14:textId="77777777" w:rsidR="001E0AFB" w:rsidRPr="00646746" w:rsidRDefault="001E0AFB">
            <w:pPr>
              <w:spacing w:after="200"/>
              <w:rPr>
                <w:rFonts w:ascii="Gotham Book" w:eastAsia="Calibri" w:hAnsi="Gotham Book" w:cs="Arial"/>
              </w:rPr>
            </w:pPr>
          </w:p>
        </w:tc>
        <w:tc>
          <w:tcPr>
            <w:tcW w:w="2174" w:type="pct"/>
            <w:tcBorders>
              <w:top w:val="nil"/>
              <w:bottom w:val="single" w:sz="4" w:space="0" w:color="auto"/>
            </w:tcBorders>
          </w:tcPr>
          <w:p w14:paraId="489F6ABF" w14:textId="25032A20" w:rsidR="001E0AFB" w:rsidRPr="00646746" w:rsidRDefault="001E0AFB">
            <w:pPr>
              <w:spacing w:after="200"/>
              <w:rPr>
                <w:rFonts w:ascii="Gotham Book" w:eastAsia="Calibri" w:hAnsi="Gotham Book" w:cs="Arial"/>
              </w:rPr>
            </w:pPr>
            <w:hyperlink r:id="rId26" w:anchor="/guideline/j98OoE/section/nYv5lP" w:history="1">
              <w:r w:rsidRPr="00646746">
                <w:rPr>
                  <w:rStyle w:val="Hyperlink"/>
                  <w:rFonts w:ascii="Gotham Book" w:eastAsia="Calibri" w:hAnsi="Gotham Book" w:cs="Arial"/>
                </w:rPr>
                <w:t>Recommendations for culturally safe and clinical kidney care for First Nations Australians</w:t>
              </w:r>
            </w:hyperlink>
          </w:p>
          <w:p w14:paraId="26CF0B43" w14:textId="77777777" w:rsidR="001E0AFB" w:rsidRPr="00646746" w:rsidRDefault="001E0AFB">
            <w:pPr>
              <w:spacing w:after="200"/>
              <w:rPr>
                <w:rFonts w:ascii="Gotham Book" w:eastAsia="Calibri" w:hAnsi="Gotham Book" w:cs="Arial"/>
              </w:rPr>
            </w:pPr>
            <w:r w:rsidRPr="00646746">
              <w:rPr>
                <w:rFonts w:ascii="Gotham Book" w:eastAsia="Calibri" w:hAnsi="Gotham Book" w:cs="Arial"/>
              </w:rPr>
              <w:t>We recommend that the family and community of First Nations Australians with chronic kidney disease are actively involved in all clinical appointments according to individual preferences.</w:t>
            </w:r>
          </w:p>
        </w:tc>
      </w:tr>
      <w:tr w:rsidR="001E0AFB" w:rsidRPr="00C66AFF" w14:paraId="1C291DE4" w14:textId="77777777">
        <w:tc>
          <w:tcPr>
            <w:tcW w:w="1045" w:type="pct"/>
            <w:tcBorders>
              <w:top w:val="single" w:sz="4" w:space="0" w:color="auto"/>
              <w:bottom w:val="nil"/>
            </w:tcBorders>
          </w:tcPr>
          <w:p w14:paraId="5EF42403" w14:textId="77777777" w:rsidR="001E0AFB" w:rsidRPr="00646746" w:rsidRDefault="001E0AFB">
            <w:pPr>
              <w:rPr>
                <w:rFonts w:ascii="Gotham Book" w:eastAsia="Calibri" w:hAnsi="Gotham Book" w:cs="Calibri"/>
              </w:rPr>
            </w:pPr>
            <w:r w:rsidRPr="00646746">
              <w:rPr>
                <w:rFonts w:ascii="Gotham Book" w:eastAsia="Calibri" w:hAnsi="Gotham Book" w:cs="Calibri"/>
              </w:rPr>
              <w:t>Conditional recommendation</w:t>
            </w:r>
            <w:r w:rsidRPr="00646746">
              <w:rPr>
                <w:rFonts w:ascii="Gotham Book" w:eastAsia="Calibri" w:hAnsi="Gotham Book" w:cs="Calibri"/>
              </w:rPr>
              <w:br/>
              <w:t>(GRADE option)</w:t>
            </w:r>
          </w:p>
        </w:tc>
        <w:tc>
          <w:tcPr>
            <w:tcW w:w="1781" w:type="pct"/>
            <w:vMerge w:val="restart"/>
            <w:tcBorders>
              <w:top w:val="single" w:sz="4" w:space="0" w:color="auto"/>
            </w:tcBorders>
          </w:tcPr>
          <w:p w14:paraId="57167F33" w14:textId="77777777" w:rsidR="001E0AFB" w:rsidRPr="00646746" w:rsidRDefault="001E0AFB">
            <w:pPr>
              <w:spacing w:after="200"/>
              <w:rPr>
                <w:rFonts w:ascii="Gotham Book" w:eastAsia="Calibri" w:hAnsi="Gotham Book" w:cs="Arial"/>
              </w:rPr>
            </w:pPr>
            <w:r w:rsidRPr="00646746">
              <w:rPr>
                <w:rFonts w:ascii="Gotham Book" w:eastAsia="Calibri" w:hAnsi="Gotham Book" w:cs="Arial"/>
                <w:b/>
              </w:rPr>
              <w:t>Interpretation</w:t>
            </w:r>
            <w:r w:rsidRPr="00646746">
              <w:rPr>
                <w:rFonts w:ascii="Gotham Book" w:eastAsia="Calibri" w:hAnsi="Gotham Book" w:cs="Arial"/>
              </w:rPr>
              <w:t>: Most informed people would choose the recommended option but a substantial number would not. Shared decision making is needed to ensure that those receiving care can make an informed values-based choice.</w:t>
            </w:r>
          </w:p>
          <w:p w14:paraId="151AA7E3" w14:textId="77777777" w:rsidR="001E0AFB" w:rsidRPr="00646746" w:rsidRDefault="001E0AFB">
            <w:pPr>
              <w:spacing w:after="200"/>
              <w:rPr>
                <w:rFonts w:ascii="Gotham Book" w:eastAsia="Calibri" w:hAnsi="Gotham Book" w:cs="Arial"/>
              </w:rPr>
            </w:pPr>
            <w:r w:rsidRPr="00646746">
              <w:rPr>
                <w:rFonts w:ascii="Gotham Book" w:eastAsia="Calibri" w:hAnsi="Gotham Book" w:cs="Arial"/>
              </w:rPr>
              <w:t>May be conditional on values and preferences, resources, setting, or other conditions</w:t>
            </w:r>
          </w:p>
          <w:p w14:paraId="3AA77992" w14:textId="77777777" w:rsidR="001E0AFB" w:rsidRPr="00646746" w:rsidRDefault="001E0AFB">
            <w:pPr>
              <w:spacing w:after="200"/>
              <w:rPr>
                <w:rFonts w:ascii="Gotham Book" w:eastAsia="Calibri" w:hAnsi="Gotham Book" w:cs="Arial"/>
              </w:rPr>
            </w:pPr>
            <w:r w:rsidRPr="00646746">
              <w:rPr>
                <w:rFonts w:ascii="Gotham Book" w:eastAsia="Calibri" w:hAnsi="Gotham Book" w:cs="Arial"/>
                <w:b/>
              </w:rPr>
              <w:t>Used when</w:t>
            </w:r>
            <w:r w:rsidRPr="00646746">
              <w:rPr>
                <w:rFonts w:ascii="Gotham Book" w:eastAsia="Calibri" w:hAnsi="Gotham Book" w:cs="Arial"/>
              </w:rPr>
              <w:t xml:space="preserve">: either close balance between desirable and undesirable </w:t>
            </w:r>
            <w:r w:rsidRPr="00646746">
              <w:rPr>
                <w:rFonts w:ascii="Gotham Book" w:eastAsia="Calibri" w:hAnsi="Gotham Book" w:cs="Arial"/>
              </w:rPr>
              <w:lastRenderedPageBreak/>
              <w:t xml:space="preserve">effects of the options, low or very low certainty, variable values (or uncertain) such that informed patients would make different choices, or other issues </w:t>
            </w:r>
          </w:p>
          <w:p w14:paraId="45EFA22B" w14:textId="77777777" w:rsidR="001E0AFB" w:rsidRPr="00646746" w:rsidRDefault="001E0AFB">
            <w:pPr>
              <w:spacing w:after="200"/>
              <w:rPr>
                <w:rFonts w:ascii="Gotham Book" w:eastAsia="Calibri" w:hAnsi="Gotham Book" w:cs="Arial"/>
              </w:rPr>
            </w:pPr>
            <w:r w:rsidRPr="00646746">
              <w:rPr>
                <w:rFonts w:ascii="Gotham Book" w:eastAsia="Calibri" w:hAnsi="Gotham Book" w:cs="Arial"/>
                <w:b/>
              </w:rPr>
              <w:t>Wording</w:t>
            </w:r>
            <w:r w:rsidRPr="00646746">
              <w:rPr>
                <w:rFonts w:ascii="Gotham Book" w:eastAsia="Calibri" w:hAnsi="Gotham Book" w:cs="Arial"/>
              </w:rPr>
              <w:t>: ‘consider’, ‘The GDG suggests’</w:t>
            </w:r>
          </w:p>
        </w:tc>
        <w:tc>
          <w:tcPr>
            <w:tcW w:w="2174" w:type="pct"/>
            <w:tcBorders>
              <w:top w:val="single" w:sz="4" w:space="0" w:color="auto"/>
              <w:bottom w:val="nil"/>
            </w:tcBorders>
          </w:tcPr>
          <w:p w14:paraId="152D1414" w14:textId="7448029E" w:rsidR="001E0AFB" w:rsidRPr="00646746" w:rsidRDefault="001E0AFB">
            <w:pPr>
              <w:spacing w:after="200"/>
              <w:rPr>
                <w:rFonts w:ascii="Gotham Book" w:eastAsia="Calibri" w:hAnsi="Gotham Book" w:cs="Arial"/>
              </w:rPr>
            </w:pPr>
            <w:hyperlink r:id="rId27" w:anchor="/guideline/LqRV3n/section/Lrp8OE" w:history="1">
              <w:r w:rsidRPr="00646746">
                <w:rPr>
                  <w:rStyle w:val="Hyperlink"/>
                  <w:rFonts w:ascii="Gotham Book" w:eastAsia="Calibri" w:hAnsi="Gotham Book" w:cs="Arial"/>
                </w:rPr>
                <w:t>Australian living guideline for the pharmacological management of inflammatory arthritis</w:t>
              </w:r>
            </w:hyperlink>
          </w:p>
          <w:p w14:paraId="7D680F8A" w14:textId="77777777" w:rsidR="001E0AFB" w:rsidRPr="00646746" w:rsidRDefault="001E0AFB">
            <w:pPr>
              <w:spacing w:after="200"/>
              <w:rPr>
                <w:rFonts w:ascii="Gotham Book" w:eastAsia="Calibri" w:hAnsi="Gotham Book" w:cs="Arial"/>
              </w:rPr>
            </w:pPr>
            <w:r w:rsidRPr="00646746">
              <w:rPr>
                <w:rFonts w:ascii="Gotham Book" w:eastAsia="Calibri" w:hAnsi="Gotham Book" w:cs="Arial"/>
              </w:rPr>
              <w:t>Do not routinely use opioids for the treatment of pain in rheumatoid arthritis. A brief course of a short-acting opioid may be considered for severe pain when other analgesic options have failed.</w:t>
            </w:r>
          </w:p>
        </w:tc>
      </w:tr>
      <w:tr w:rsidR="001E0AFB" w:rsidRPr="00C66AFF" w14:paraId="269FCB4C" w14:textId="77777777">
        <w:tc>
          <w:tcPr>
            <w:tcW w:w="1045" w:type="pct"/>
            <w:tcBorders>
              <w:top w:val="nil"/>
              <w:bottom w:val="single" w:sz="4" w:space="0" w:color="auto"/>
            </w:tcBorders>
          </w:tcPr>
          <w:p w14:paraId="706C77EF" w14:textId="77777777" w:rsidR="001E0AFB" w:rsidRPr="00646746" w:rsidRDefault="001E0AFB">
            <w:pPr>
              <w:rPr>
                <w:rFonts w:ascii="Gotham Book" w:eastAsia="Calibri" w:hAnsi="Gotham Book" w:cs="Calibri"/>
              </w:rPr>
            </w:pPr>
          </w:p>
        </w:tc>
        <w:tc>
          <w:tcPr>
            <w:tcW w:w="1781" w:type="pct"/>
            <w:vMerge/>
            <w:tcBorders>
              <w:bottom w:val="single" w:sz="4" w:space="0" w:color="auto"/>
            </w:tcBorders>
          </w:tcPr>
          <w:p w14:paraId="0C42104D" w14:textId="77777777" w:rsidR="001E0AFB" w:rsidRPr="00646746" w:rsidRDefault="001E0AFB">
            <w:pPr>
              <w:spacing w:after="200"/>
              <w:rPr>
                <w:rFonts w:ascii="Gotham Book" w:eastAsia="Calibri" w:hAnsi="Gotham Book" w:cs="Arial"/>
              </w:rPr>
            </w:pPr>
          </w:p>
        </w:tc>
        <w:tc>
          <w:tcPr>
            <w:tcW w:w="2174" w:type="pct"/>
            <w:tcBorders>
              <w:top w:val="nil"/>
              <w:bottom w:val="single" w:sz="4" w:space="0" w:color="auto"/>
            </w:tcBorders>
          </w:tcPr>
          <w:p w14:paraId="5D7812D7" w14:textId="56589AFB" w:rsidR="001E0AFB" w:rsidRPr="00646746" w:rsidRDefault="001E0AFB">
            <w:pPr>
              <w:spacing w:after="200"/>
              <w:rPr>
                <w:rFonts w:ascii="Gotham Book" w:eastAsia="Calibri" w:hAnsi="Gotham Book" w:cs="Arial"/>
              </w:rPr>
            </w:pPr>
            <w:hyperlink r:id="rId28" w:anchor="/guideline/jMMeqj/section/j721vE" w:history="1">
              <w:r w:rsidRPr="00646746">
                <w:rPr>
                  <w:rStyle w:val="Hyperlink"/>
                  <w:rFonts w:ascii="Gotham Book" w:eastAsia="Calibri" w:hAnsi="Gotham Book" w:cs="Arial"/>
                </w:rPr>
                <w:t>Clinical Practice Guidelines for the Appropriate Use of Psychotropic Medications in People Living with Dementia and in Residential Aged Care</w:t>
              </w:r>
            </w:hyperlink>
          </w:p>
          <w:p w14:paraId="6277BD23" w14:textId="77777777" w:rsidR="001E0AFB" w:rsidRPr="00646746" w:rsidRDefault="001E0AFB">
            <w:pPr>
              <w:spacing w:after="200"/>
              <w:rPr>
                <w:rFonts w:ascii="Gotham Book" w:eastAsia="Calibri" w:hAnsi="Gotham Book" w:cs="Arial"/>
              </w:rPr>
            </w:pPr>
            <w:r w:rsidRPr="00646746">
              <w:rPr>
                <w:rFonts w:ascii="Gotham Book" w:eastAsia="Calibri" w:hAnsi="Gotham Book" w:cs="Arial"/>
              </w:rPr>
              <w:lastRenderedPageBreak/>
              <w:t>For people living with dementia using an antidepressant for agitation, without evidence of concomitant major depressive disorder or another appropriate indication, the Guideline Development Group recommends that discontinuation be considered.</w:t>
            </w:r>
          </w:p>
        </w:tc>
      </w:tr>
      <w:tr w:rsidR="001E0AFB" w:rsidRPr="00C66AFF" w14:paraId="51D8674D" w14:textId="77777777">
        <w:tc>
          <w:tcPr>
            <w:tcW w:w="1045" w:type="pct"/>
            <w:tcBorders>
              <w:top w:val="single" w:sz="4" w:space="0" w:color="auto"/>
              <w:bottom w:val="nil"/>
            </w:tcBorders>
          </w:tcPr>
          <w:p w14:paraId="5B46E572" w14:textId="77777777" w:rsidR="001E0AFB" w:rsidRPr="00646746" w:rsidRDefault="001E0AFB">
            <w:pPr>
              <w:rPr>
                <w:rFonts w:ascii="Gotham Book" w:hAnsi="Gotham Book"/>
              </w:rPr>
            </w:pPr>
            <w:r w:rsidRPr="00646746">
              <w:rPr>
                <w:rFonts w:ascii="Gotham Book" w:hAnsi="Gotham Book"/>
              </w:rPr>
              <w:lastRenderedPageBreak/>
              <w:t>Public health recommendation</w:t>
            </w:r>
          </w:p>
        </w:tc>
        <w:tc>
          <w:tcPr>
            <w:tcW w:w="1781" w:type="pct"/>
            <w:tcBorders>
              <w:top w:val="single" w:sz="4" w:space="0" w:color="auto"/>
              <w:bottom w:val="nil"/>
            </w:tcBorders>
          </w:tcPr>
          <w:p w14:paraId="49DD2127" w14:textId="77777777" w:rsidR="001E0AFB" w:rsidRPr="00646746" w:rsidRDefault="001E0AFB">
            <w:pPr>
              <w:spacing w:after="200"/>
              <w:rPr>
                <w:rFonts w:ascii="Gotham Book" w:hAnsi="Gotham Book"/>
              </w:rPr>
            </w:pPr>
            <w:r w:rsidRPr="00646746">
              <w:rPr>
                <w:rFonts w:ascii="Gotham Book" w:hAnsi="Gotham Book"/>
              </w:rPr>
              <w:t xml:space="preserve">The recommended action is expected to substantially improve health of a population (large net benefit at a population-level). Recommendation might apply to high risk situations where there is a likelihood of death, severe disability or other serious harm. </w:t>
            </w:r>
          </w:p>
        </w:tc>
        <w:tc>
          <w:tcPr>
            <w:tcW w:w="2174" w:type="pct"/>
            <w:tcBorders>
              <w:top w:val="single" w:sz="4" w:space="0" w:color="auto"/>
              <w:bottom w:val="nil"/>
            </w:tcBorders>
          </w:tcPr>
          <w:p w14:paraId="434DADBC" w14:textId="5520371B" w:rsidR="001E0AFB" w:rsidRPr="00646746" w:rsidRDefault="001E0AFB">
            <w:pPr>
              <w:spacing w:after="200"/>
              <w:rPr>
                <w:rFonts w:ascii="Gotham Book" w:eastAsia="Calibri" w:hAnsi="Gotham Book" w:cs="Arial"/>
              </w:rPr>
            </w:pPr>
            <w:hyperlink r:id="rId29" w:anchor="/guideline/E52Obj/section/Lw3kpL" w:history="1">
              <w:r w:rsidRPr="00646746">
                <w:rPr>
                  <w:rStyle w:val="Hyperlink"/>
                  <w:rFonts w:ascii="Gotham Book" w:eastAsia="Calibri" w:hAnsi="Gotham Book" w:cs="Arial"/>
                </w:rPr>
                <w:t>Australian guidelines to reduce the health risks from drinking alcohol</w:t>
              </w:r>
            </w:hyperlink>
          </w:p>
          <w:p w14:paraId="160ED39A" w14:textId="77777777" w:rsidR="001E0AFB" w:rsidRPr="00646746" w:rsidRDefault="001E0AFB">
            <w:pPr>
              <w:spacing w:after="200"/>
              <w:rPr>
                <w:rFonts w:ascii="Gotham Book" w:eastAsia="Calibri" w:hAnsi="Gotham Book" w:cs="Arial"/>
              </w:rPr>
            </w:pPr>
            <w:r w:rsidRPr="00646746">
              <w:rPr>
                <w:rFonts w:ascii="Gotham Book" w:eastAsia="Calibri" w:hAnsi="Gotham Book" w:cs="Arial"/>
              </w:rPr>
              <w:t xml:space="preserve">To reduce the risk of harm from alcohol-related disease or injury, healthy men and women should drink no more than 10 standard drinks a week and no more than 4 standard drinks on any one day. </w:t>
            </w:r>
          </w:p>
        </w:tc>
      </w:tr>
      <w:tr w:rsidR="001E0AFB" w:rsidRPr="00C66AFF" w14:paraId="0BD65E88" w14:textId="77777777">
        <w:tc>
          <w:tcPr>
            <w:tcW w:w="1045" w:type="pct"/>
            <w:tcBorders>
              <w:top w:val="nil"/>
              <w:bottom w:val="single" w:sz="4" w:space="0" w:color="auto"/>
            </w:tcBorders>
          </w:tcPr>
          <w:p w14:paraId="75FFE330" w14:textId="77777777" w:rsidR="001E0AFB" w:rsidRPr="00646746" w:rsidRDefault="001E0AFB">
            <w:pPr>
              <w:rPr>
                <w:rFonts w:ascii="Gotham Book" w:hAnsi="Gotham Book"/>
              </w:rPr>
            </w:pPr>
          </w:p>
        </w:tc>
        <w:tc>
          <w:tcPr>
            <w:tcW w:w="1781" w:type="pct"/>
            <w:tcBorders>
              <w:top w:val="nil"/>
              <w:bottom w:val="single" w:sz="4" w:space="0" w:color="auto"/>
            </w:tcBorders>
          </w:tcPr>
          <w:p w14:paraId="74BBB00E" w14:textId="77777777" w:rsidR="001E0AFB" w:rsidRPr="00646746" w:rsidRDefault="001E0AFB">
            <w:pPr>
              <w:spacing w:after="200"/>
              <w:rPr>
                <w:rFonts w:ascii="Gotham Book" w:hAnsi="Gotham Book"/>
              </w:rPr>
            </w:pPr>
          </w:p>
        </w:tc>
        <w:tc>
          <w:tcPr>
            <w:tcW w:w="2174" w:type="pct"/>
            <w:tcBorders>
              <w:top w:val="nil"/>
              <w:bottom w:val="single" w:sz="4" w:space="0" w:color="auto"/>
            </w:tcBorders>
          </w:tcPr>
          <w:p w14:paraId="5F5E0098" w14:textId="033A7833" w:rsidR="001E0AFB" w:rsidRPr="00646746" w:rsidRDefault="001E0AFB">
            <w:pPr>
              <w:spacing w:after="200"/>
              <w:rPr>
                <w:rFonts w:ascii="Gotham Book" w:eastAsia="Calibri" w:hAnsi="Gotham Book" w:cs="Arial"/>
              </w:rPr>
            </w:pPr>
            <w:hyperlink r:id="rId30" w:history="1">
              <w:r w:rsidRPr="00646746">
                <w:rPr>
                  <w:rStyle w:val="Hyperlink"/>
                  <w:rFonts w:ascii="Gotham Book" w:eastAsia="Calibri" w:hAnsi="Gotham Book" w:cs="Arial"/>
                </w:rPr>
                <w:t xml:space="preserve">Australian </w:t>
              </w:r>
              <w:r w:rsidR="00D06CDA" w:rsidRPr="00646746">
                <w:rPr>
                  <w:rStyle w:val="Hyperlink"/>
                  <w:rFonts w:ascii="Gotham Book" w:eastAsia="Calibri" w:hAnsi="Gotham Book" w:cs="Arial"/>
                </w:rPr>
                <w:t>I</w:t>
              </w:r>
              <w:r w:rsidRPr="00646746">
                <w:rPr>
                  <w:rStyle w:val="Hyperlink"/>
                  <w:rFonts w:ascii="Gotham Book" w:eastAsia="Calibri" w:hAnsi="Gotham Book" w:cs="Arial"/>
                </w:rPr>
                <w:t xml:space="preserve">mmunisation </w:t>
              </w:r>
              <w:r w:rsidR="00D06CDA" w:rsidRPr="00646746">
                <w:rPr>
                  <w:rStyle w:val="Hyperlink"/>
                  <w:rFonts w:ascii="Gotham Book" w:eastAsia="Calibri" w:hAnsi="Gotham Book" w:cs="Arial"/>
                </w:rPr>
                <w:t>H</w:t>
              </w:r>
              <w:r w:rsidRPr="00646746">
                <w:rPr>
                  <w:rStyle w:val="Hyperlink"/>
                  <w:rFonts w:ascii="Gotham Book" w:eastAsia="Calibri" w:hAnsi="Gotham Book" w:cs="Arial"/>
                </w:rPr>
                <w:t xml:space="preserve">andbook recommendations for vaccination </w:t>
              </w:r>
              <w:r w:rsidR="00D06CDA" w:rsidRPr="00646746">
                <w:rPr>
                  <w:rStyle w:val="Hyperlink"/>
                  <w:rFonts w:ascii="Gotham Book" w:eastAsia="Calibri" w:hAnsi="Gotham Book" w:cs="Arial"/>
                </w:rPr>
                <w:t>(</w:t>
              </w:r>
              <w:r w:rsidRPr="00646746">
                <w:rPr>
                  <w:rStyle w:val="Hyperlink"/>
                  <w:rFonts w:ascii="Gotham Book" w:eastAsia="Calibri" w:hAnsi="Gotham Book" w:cs="Arial"/>
                </w:rPr>
                <w:t>herpes zoster</w:t>
              </w:r>
            </w:hyperlink>
            <w:r w:rsidR="00D06CDA" w:rsidRPr="00646746">
              <w:rPr>
                <w:rFonts w:ascii="Gotham Book" w:eastAsia="Calibri" w:hAnsi="Gotham Book" w:cs="Arial"/>
              </w:rPr>
              <w:t>)</w:t>
            </w:r>
          </w:p>
          <w:p w14:paraId="3449BCA2" w14:textId="77777777" w:rsidR="001E0AFB" w:rsidRPr="00646746" w:rsidRDefault="001E0AFB">
            <w:pPr>
              <w:spacing w:after="200"/>
              <w:rPr>
                <w:rFonts w:ascii="Gotham Book" w:eastAsia="Calibri" w:hAnsi="Gotham Book" w:cs="Arial"/>
              </w:rPr>
            </w:pPr>
            <w:r w:rsidRPr="00646746">
              <w:rPr>
                <w:rFonts w:ascii="Gotham Book" w:eastAsia="Calibri" w:hAnsi="Gotham Book" w:cs="Arial"/>
              </w:rPr>
              <w:t xml:space="preserve">For immunocompetent adults aged </w:t>
            </w:r>
            <w:r w:rsidRPr="00646746">
              <w:rPr>
                <w:rFonts w:ascii="Courier New" w:eastAsia="Calibri" w:hAnsi="Courier New" w:cs="Courier New"/>
              </w:rPr>
              <w:t>≥</w:t>
            </w:r>
            <w:r w:rsidRPr="00646746">
              <w:rPr>
                <w:rFonts w:ascii="Gotham Book" w:eastAsia="Calibri" w:hAnsi="Gotham Book" w:cs="Arial"/>
              </w:rPr>
              <w:t>50 years Shingrix recombinant herpes zoster (HZ) vaccine is preferred over Zostavax for the prevention of HZ and associated complications.</w:t>
            </w:r>
          </w:p>
        </w:tc>
      </w:tr>
      <w:tr w:rsidR="001E0AFB" w:rsidRPr="00C66AFF" w14:paraId="31B69857" w14:textId="77777777">
        <w:tc>
          <w:tcPr>
            <w:tcW w:w="1045" w:type="pct"/>
            <w:tcBorders>
              <w:top w:val="single" w:sz="4" w:space="0" w:color="auto"/>
              <w:bottom w:val="nil"/>
            </w:tcBorders>
          </w:tcPr>
          <w:p w14:paraId="39F54C6A" w14:textId="77777777" w:rsidR="001E0AFB" w:rsidRPr="00646746" w:rsidRDefault="001E0AFB">
            <w:pPr>
              <w:rPr>
                <w:rFonts w:ascii="Gotham Book" w:eastAsia="Calibri" w:hAnsi="Gotham Book" w:cs="Calibri"/>
              </w:rPr>
            </w:pPr>
            <w:r w:rsidRPr="00646746">
              <w:rPr>
                <w:rFonts w:ascii="Gotham Book" w:hAnsi="Gotham Book"/>
              </w:rPr>
              <w:t>Statutory requirement</w:t>
            </w:r>
          </w:p>
        </w:tc>
        <w:tc>
          <w:tcPr>
            <w:tcW w:w="1781" w:type="pct"/>
            <w:tcBorders>
              <w:top w:val="single" w:sz="4" w:space="0" w:color="auto"/>
              <w:bottom w:val="nil"/>
            </w:tcBorders>
          </w:tcPr>
          <w:p w14:paraId="12816384" w14:textId="77777777" w:rsidR="001E0AFB" w:rsidRPr="00646746" w:rsidRDefault="001E0AFB">
            <w:pPr>
              <w:spacing w:after="200"/>
              <w:rPr>
                <w:rFonts w:ascii="Gotham Book" w:eastAsia="Calibri" w:hAnsi="Gotham Book" w:cs="Arial"/>
              </w:rPr>
            </w:pPr>
            <w:r w:rsidRPr="00646746">
              <w:rPr>
                <w:rFonts w:ascii="Gotham Book" w:eastAsia="Calibri" w:hAnsi="Gotham Book" w:cs="Arial"/>
              </w:rPr>
              <w:t>There is a legal requirement for the action</w:t>
            </w:r>
          </w:p>
        </w:tc>
        <w:tc>
          <w:tcPr>
            <w:tcW w:w="2174" w:type="pct"/>
            <w:tcBorders>
              <w:top w:val="single" w:sz="4" w:space="0" w:color="auto"/>
            </w:tcBorders>
          </w:tcPr>
          <w:p w14:paraId="08D36CBD" w14:textId="3D10DBC3" w:rsidR="001E0AFB" w:rsidRPr="00646746" w:rsidRDefault="001E0AFB">
            <w:pPr>
              <w:spacing w:after="200"/>
              <w:rPr>
                <w:rFonts w:ascii="Gotham Book" w:eastAsia="Calibri" w:hAnsi="Gotham Book" w:cs="Arial"/>
              </w:rPr>
            </w:pPr>
            <w:hyperlink r:id="rId31" w:anchor="/guideline/Jn37kn/section/EeOkzL" w:history="1">
              <w:r w:rsidRPr="00646746">
                <w:rPr>
                  <w:rStyle w:val="Hyperlink"/>
                  <w:rFonts w:ascii="Gotham Book" w:eastAsia="Calibri" w:hAnsi="Gotham Book" w:cs="Arial"/>
                </w:rPr>
                <w:t>Australian Guidelines for the Prevention and Control of Infection in Healthcare (2019)</w:t>
              </w:r>
            </w:hyperlink>
          </w:p>
          <w:p w14:paraId="31FF4176" w14:textId="77777777" w:rsidR="001E0AFB" w:rsidRPr="00646746" w:rsidRDefault="001E0AFB">
            <w:pPr>
              <w:spacing w:after="200"/>
              <w:rPr>
                <w:rFonts w:ascii="Gotham Book" w:eastAsia="Calibri" w:hAnsi="Gotham Book" w:cs="Arial"/>
              </w:rPr>
            </w:pPr>
            <w:r w:rsidRPr="00646746">
              <w:rPr>
                <w:rFonts w:ascii="Gotham Book" w:eastAsia="Calibri" w:hAnsi="Gotham Book" w:cs="Arial"/>
              </w:rPr>
              <w:t xml:space="preserve">It is good practice that alcohol-based hand rubs that meet the requirements of European Standard EN 1500 are used for </w:t>
            </w:r>
            <w:r w:rsidRPr="00646746">
              <w:rPr>
                <w:rFonts w:ascii="Gotham Book" w:eastAsia="Calibri" w:hAnsi="Gotham Book" w:cs="Arial"/>
              </w:rPr>
              <w:lastRenderedPageBreak/>
              <w:t>all routine hand hygiene practices.</w:t>
            </w:r>
          </w:p>
          <w:p w14:paraId="287F2B8D" w14:textId="77777777" w:rsidR="001E0AFB" w:rsidRPr="00646746" w:rsidRDefault="001E0AFB">
            <w:pPr>
              <w:spacing w:after="200"/>
              <w:rPr>
                <w:rFonts w:ascii="Gotham Book" w:eastAsia="Calibri" w:hAnsi="Gotham Book" w:cs="Arial"/>
                <w:i/>
              </w:rPr>
            </w:pPr>
            <w:r w:rsidRPr="00646746">
              <w:rPr>
                <w:rFonts w:ascii="Gotham Book" w:eastAsia="Calibri" w:hAnsi="Gotham Book" w:cs="Arial"/>
                <w:i/>
              </w:rPr>
              <w:t>This advice aligns with mandatory requirements as set by Australia's Therapeutic Goods Administration regarding testing standards for bactericidal effect (Therapeutic Goods Act 1989).</w:t>
            </w:r>
          </w:p>
        </w:tc>
      </w:tr>
      <w:tr w:rsidR="001E0AFB" w:rsidRPr="00C66AFF" w14:paraId="210D377D" w14:textId="77777777">
        <w:tc>
          <w:tcPr>
            <w:tcW w:w="1045" w:type="pct"/>
          </w:tcPr>
          <w:p w14:paraId="44FF0C75" w14:textId="77777777" w:rsidR="001E0AFB" w:rsidRPr="00646746" w:rsidRDefault="001E0AFB">
            <w:pPr>
              <w:rPr>
                <w:rFonts w:ascii="Gotham Book" w:eastAsia="Calibri" w:hAnsi="Gotham Book" w:cs="Calibri"/>
              </w:rPr>
            </w:pPr>
            <w:r w:rsidRPr="00646746">
              <w:rPr>
                <w:rFonts w:ascii="Gotham Book" w:eastAsia="Calibri" w:hAnsi="Gotham Book" w:cs="Calibri"/>
              </w:rPr>
              <w:lastRenderedPageBreak/>
              <w:t>Research only recommendation</w:t>
            </w:r>
          </w:p>
        </w:tc>
        <w:tc>
          <w:tcPr>
            <w:tcW w:w="1781" w:type="pct"/>
          </w:tcPr>
          <w:p w14:paraId="078DCFF4" w14:textId="77777777" w:rsidR="001E0AFB" w:rsidRPr="00646746" w:rsidRDefault="001E0AFB">
            <w:pPr>
              <w:rPr>
                <w:rFonts w:ascii="Gotham Book" w:hAnsi="Gotham Book"/>
              </w:rPr>
            </w:pPr>
            <w:r w:rsidRPr="00646746">
              <w:rPr>
                <w:rFonts w:ascii="Gotham Book" w:hAnsi="Gotham Book"/>
              </w:rPr>
              <w:t xml:space="preserve">Limits use of an option in a specific population to a research setting because of uncertainty about desirable/undesirable effects </w:t>
            </w:r>
          </w:p>
          <w:p w14:paraId="666F893F" w14:textId="77777777" w:rsidR="001E0AFB" w:rsidRPr="00646746" w:rsidRDefault="001E0AFB" w:rsidP="008C22FC">
            <w:pPr>
              <w:pStyle w:val="ListParagraph"/>
              <w:numPr>
                <w:ilvl w:val="0"/>
                <w:numId w:val="14"/>
              </w:numPr>
              <w:rPr>
                <w:rFonts w:ascii="Gotham Book" w:hAnsi="Gotham Book"/>
              </w:rPr>
            </w:pPr>
            <w:r w:rsidRPr="00646746">
              <w:rPr>
                <w:rFonts w:ascii="Gotham Book" w:hAnsi="Gotham Book"/>
              </w:rPr>
              <w:t xml:space="preserve">Research must have real potential to reduce uncertainty, be feasible, acceptable, and good value </w:t>
            </w:r>
          </w:p>
          <w:p w14:paraId="5FF12C46" w14:textId="77777777" w:rsidR="001E0AFB" w:rsidRPr="00646746" w:rsidRDefault="001E0AFB" w:rsidP="008C22FC">
            <w:pPr>
              <w:pStyle w:val="ListParagraph"/>
              <w:numPr>
                <w:ilvl w:val="0"/>
                <w:numId w:val="14"/>
              </w:numPr>
              <w:rPr>
                <w:rFonts w:ascii="Gotham Book" w:hAnsi="Gotham Book"/>
              </w:rPr>
            </w:pPr>
            <w:r w:rsidRPr="00646746">
              <w:rPr>
                <w:rFonts w:ascii="Gotham Book" w:hAnsi="Gotham Book"/>
              </w:rPr>
              <w:t>May be accompanied by a strong recommendation: “Do not use option outside research context”</w:t>
            </w:r>
          </w:p>
        </w:tc>
        <w:tc>
          <w:tcPr>
            <w:tcW w:w="2174" w:type="pct"/>
          </w:tcPr>
          <w:p w14:paraId="423C52F8" w14:textId="1A03AE3D" w:rsidR="001E0AFB" w:rsidRPr="00646746" w:rsidRDefault="001E0AFB">
            <w:pPr>
              <w:spacing w:after="200"/>
              <w:rPr>
                <w:rFonts w:ascii="Gotham Book" w:eastAsia="Calibri" w:hAnsi="Gotham Book" w:cs="Arial"/>
              </w:rPr>
            </w:pPr>
            <w:hyperlink r:id="rId32" w:anchor="/guideline/EQ3k5L/section/L48k9a" w:history="1">
              <w:r w:rsidRPr="00646746">
                <w:rPr>
                  <w:rStyle w:val="Hyperlink"/>
                  <w:rFonts w:ascii="Gotham Book" w:eastAsia="Calibri" w:hAnsi="Gotham Book" w:cs="Arial"/>
                </w:rPr>
                <w:t>Australian guidelines for the clinical care of people with COVID-19 - drug treatments not recommended outside of clinical trials</w:t>
              </w:r>
            </w:hyperlink>
          </w:p>
          <w:p w14:paraId="1F47D042" w14:textId="77777777" w:rsidR="001E0AFB" w:rsidRPr="00646746" w:rsidRDefault="001E0AFB">
            <w:pPr>
              <w:spacing w:after="200"/>
              <w:rPr>
                <w:rFonts w:ascii="Gotham Book" w:eastAsia="Calibri" w:hAnsi="Gotham Book" w:cs="Arial"/>
              </w:rPr>
            </w:pPr>
            <w:r w:rsidRPr="00646746">
              <w:rPr>
                <w:rFonts w:ascii="Gotham Book" w:eastAsia="Calibri" w:hAnsi="Gotham Book" w:cs="Arial"/>
              </w:rPr>
              <w:t xml:space="preserve">Do not use </w:t>
            </w:r>
            <w:proofErr w:type="spellStart"/>
            <w:r w:rsidRPr="00646746">
              <w:rPr>
                <w:rFonts w:ascii="Gotham Book" w:eastAsia="Calibri" w:hAnsi="Gotham Book" w:cs="Arial"/>
              </w:rPr>
              <w:t>molnupiravir</w:t>
            </w:r>
            <w:proofErr w:type="spellEnd"/>
            <w:r w:rsidRPr="00646746">
              <w:rPr>
                <w:rFonts w:ascii="Gotham Book" w:eastAsia="Calibri" w:hAnsi="Gotham Book" w:cs="Arial"/>
              </w:rPr>
              <w:t xml:space="preserve"> for the treatment of COVID-19 in children and adolescents outside of randomised trials with appropriate ethical approval.</w:t>
            </w:r>
          </w:p>
        </w:tc>
      </w:tr>
    </w:tbl>
    <w:p w14:paraId="35C8918C" w14:textId="77777777" w:rsidR="003D3DBD" w:rsidRPr="00646746" w:rsidRDefault="003D3DBD" w:rsidP="003D3DBD">
      <w:pPr>
        <w:rPr>
          <w:rFonts w:ascii="Gotham Book" w:hAnsi="Gotham Book" w:cs="Calibri"/>
          <w:color w:val="000000"/>
        </w:rPr>
      </w:pPr>
    </w:p>
    <w:p w14:paraId="5450B74A" w14:textId="77777777" w:rsidR="00D47239" w:rsidRPr="00006525" w:rsidRDefault="00D47239" w:rsidP="00D47239">
      <w:pPr>
        <w:pStyle w:val="Heading4"/>
      </w:pPr>
      <w:r w:rsidRPr="00006525">
        <w:t>Write the recommendation as a concise, clear and actionable statement</w:t>
      </w:r>
    </w:p>
    <w:p w14:paraId="6F9B5D4F" w14:textId="2001040F" w:rsidR="00E626EB" w:rsidRPr="00646746" w:rsidRDefault="00C64926" w:rsidP="00B40E7E">
      <w:pPr>
        <w:rPr>
          <w:rFonts w:ascii="Gotham Book" w:hAnsi="Gotham Book"/>
        </w:rPr>
      </w:pPr>
      <w:r w:rsidRPr="00646746">
        <w:rPr>
          <w:rFonts w:ascii="Gotham Book" w:hAnsi="Gotham Book"/>
        </w:rPr>
        <w:t xml:space="preserve">Recommendations should be specific and practical with a concise, clear and actionable statement of what needs to be done. </w:t>
      </w:r>
      <w:r w:rsidRPr="00AF1765">
        <w:rPr>
          <w:rFonts w:ascii="Gotham Book" w:hAnsi="Gotham Book"/>
          <w:u w:val="single"/>
        </w:rPr>
        <w:t xml:space="preserve">Table </w:t>
      </w:r>
      <w:r w:rsidR="00A00642" w:rsidRPr="00AF1765">
        <w:rPr>
          <w:rFonts w:ascii="Gotham Book" w:hAnsi="Gotham Book"/>
          <w:u w:val="single"/>
        </w:rPr>
        <w:t>3</w:t>
      </w:r>
      <w:r w:rsidRPr="00646746">
        <w:rPr>
          <w:rFonts w:ascii="Gotham Book" w:hAnsi="Gotham Book"/>
        </w:rPr>
        <w:t xml:space="preserve"> contains some examples of recommendations from NHMRC approved guidelines (for others, see </w:t>
      </w:r>
      <w:proofErr w:type="spellStart"/>
      <w:r w:rsidRPr="00646746">
        <w:rPr>
          <w:rFonts w:ascii="Gotham Book" w:hAnsi="Gotham Book"/>
        </w:rPr>
        <w:t>MAGICapp</w:t>
      </w:r>
      <w:proofErr w:type="spellEnd"/>
      <w:r w:rsidRPr="00646746">
        <w:rPr>
          <w:rFonts w:ascii="Gotham Book" w:hAnsi="Gotham Book"/>
        </w:rPr>
        <w:t xml:space="preserve"> and </w:t>
      </w:r>
      <w:hyperlink r:id="rId33" w:history="1">
        <w:r w:rsidRPr="00646746">
          <w:rPr>
            <w:rStyle w:val="Hyperlink"/>
            <w:rFonts w:ascii="Gotham Book" w:hAnsi="Gotham Book"/>
          </w:rPr>
          <w:t>https://guidelines.gradepro.org/search</w:t>
        </w:r>
      </w:hyperlink>
      <w:r w:rsidRPr="00646746">
        <w:rPr>
          <w:rFonts w:ascii="Gotham Book" w:hAnsi="Gotham Book"/>
        </w:rPr>
        <w:t>).</w:t>
      </w:r>
    </w:p>
    <w:p w14:paraId="2CCC694C" w14:textId="70832CEB" w:rsidR="006F0A7E" w:rsidRPr="00646746" w:rsidRDefault="006F0A7E" w:rsidP="006F0A7E">
      <w:pPr>
        <w:rPr>
          <w:rFonts w:ascii="Gotham Book" w:hAnsi="Gotham Book"/>
          <w:b/>
        </w:rPr>
      </w:pPr>
      <w:r w:rsidRPr="00646746">
        <w:rPr>
          <w:rFonts w:ascii="Gotham Book" w:hAnsi="Gotham Book"/>
          <w:b/>
        </w:rPr>
        <w:t>The recommendation must</w:t>
      </w:r>
      <w:r w:rsidR="00B650D6" w:rsidRPr="00646746">
        <w:rPr>
          <w:rFonts w:ascii="Gotham Book" w:hAnsi="Gotham Book"/>
          <w:b/>
        </w:rPr>
        <w:t>:</w:t>
      </w:r>
      <w:r w:rsidRPr="00646746">
        <w:rPr>
          <w:rFonts w:ascii="Gotham Book" w:hAnsi="Gotham Book"/>
          <w:b/>
        </w:rPr>
        <w:t xml:space="preserve"> </w:t>
      </w:r>
    </w:p>
    <w:p w14:paraId="584E75F8" w14:textId="77777777" w:rsidR="00B650D6" w:rsidRPr="00646746" w:rsidRDefault="00B650D6" w:rsidP="008C22FC">
      <w:pPr>
        <w:pStyle w:val="ListParagraph"/>
        <w:numPr>
          <w:ilvl w:val="0"/>
          <w:numId w:val="15"/>
        </w:numPr>
        <w:spacing w:after="160" w:line="259" w:lineRule="auto"/>
        <w:rPr>
          <w:rFonts w:ascii="Gotham Book" w:hAnsi="Gotham Book"/>
        </w:rPr>
      </w:pPr>
      <w:r w:rsidRPr="00646746">
        <w:rPr>
          <w:rFonts w:ascii="Gotham Book" w:hAnsi="Gotham Book"/>
        </w:rPr>
        <w:t>state what the action is and be limited to one main action</w:t>
      </w:r>
    </w:p>
    <w:p w14:paraId="5510A1EE" w14:textId="77777777" w:rsidR="00B650D6" w:rsidRPr="00646746" w:rsidRDefault="00B650D6" w:rsidP="008C22FC">
      <w:pPr>
        <w:pStyle w:val="ListParagraph"/>
        <w:numPr>
          <w:ilvl w:val="0"/>
          <w:numId w:val="15"/>
        </w:numPr>
        <w:spacing w:after="160" w:line="259" w:lineRule="auto"/>
        <w:rPr>
          <w:rFonts w:ascii="Gotham Book" w:hAnsi="Gotham Book"/>
        </w:rPr>
      </w:pPr>
      <w:r w:rsidRPr="00646746">
        <w:rPr>
          <w:rFonts w:ascii="Gotham Book" w:hAnsi="Gotham Book"/>
        </w:rPr>
        <w:t>have a clear direction (for or against the option in the recommendation question)</w:t>
      </w:r>
    </w:p>
    <w:p w14:paraId="7A210472" w14:textId="77777777" w:rsidR="00B650D6" w:rsidRPr="00646746" w:rsidRDefault="00B650D6" w:rsidP="008C22FC">
      <w:pPr>
        <w:pStyle w:val="ListParagraph"/>
        <w:numPr>
          <w:ilvl w:val="0"/>
          <w:numId w:val="15"/>
        </w:numPr>
        <w:spacing w:after="160" w:line="259" w:lineRule="auto"/>
        <w:rPr>
          <w:rFonts w:ascii="Gotham Book" w:hAnsi="Gotham Book"/>
        </w:rPr>
      </w:pPr>
      <w:r w:rsidRPr="00646746">
        <w:rPr>
          <w:rFonts w:ascii="Gotham Book" w:hAnsi="Gotham Book"/>
        </w:rPr>
        <w:t xml:space="preserve">state the population and setting (if relevant) </w:t>
      </w:r>
    </w:p>
    <w:p w14:paraId="5FB47336" w14:textId="77777777" w:rsidR="00B650D6" w:rsidRPr="00646746" w:rsidRDefault="00B650D6" w:rsidP="008C22FC">
      <w:pPr>
        <w:pStyle w:val="ListParagraph"/>
        <w:numPr>
          <w:ilvl w:val="0"/>
          <w:numId w:val="15"/>
        </w:numPr>
        <w:spacing w:after="160" w:line="259" w:lineRule="auto"/>
        <w:rPr>
          <w:rFonts w:ascii="Gotham Book" w:hAnsi="Gotham Book"/>
        </w:rPr>
      </w:pPr>
      <w:r w:rsidRPr="00646746">
        <w:rPr>
          <w:rFonts w:ascii="Gotham Book" w:hAnsi="Gotham Book"/>
        </w:rPr>
        <w:t xml:space="preserve">state the comparator (unless the alternative option is obvious) </w:t>
      </w:r>
    </w:p>
    <w:p w14:paraId="1F57466D" w14:textId="6DBEFC56" w:rsidR="0072316D" w:rsidRPr="00FA1E91" w:rsidRDefault="00B650D6" w:rsidP="0072316D">
      <w:pPr>
        <w:pStyle w:val="ListParagraph"/>
        <w:numPr>
          <w:ilvl w:val="0"/>
          <w:numId w:val="15"/>
        </w:numPr>
        <w:spacing w:after="160" w:line="259" w:lineRule="auto"/>
        <w:rPr>
          <w:rFonts w:ascii="Gotham Book" w:hAnsi="Gotham Book"/>
        </w:rPr>
      </w:pPr>
      <w:r w:rsidRPr="00646746">
        <w:rPr>
          <w:rFonts w:ascii="Gotham Book" w:hAnsi="Gotham Book"/>
        </w:rPr>
        <w:lastRenderedPageBreak/>
        <w:t>include sufficient detail for those responsible to carry out the action (do not assume the action is self-explanatory or the steps are obvious)</w:t>
      </w:r>
    </w:p>
    <w:p w14:paraId="4DF23AF9" w14:textId="7235883B" w:rsidR="0072316D" w:rsidRPr="00646746" w:rsidRDefault="0072316D" w:rsidP="0072316D">
      <w:pPr>
        <w:rPr>
          <w:rFonts w:ascii="Gotham Book" w:hAnsi="Gotham Book"/>
          <w:b/>
        </w:rPr>
      </w:pPr>
      <w:r w:rsidRPr="00646746">
        <w:rPr>
          <w:rFonts w:ascii="Gotham Book" w:hAnsi="Gotham Book"/>
          <w:b/>
        </w:rPr>
        <w:t>In addition, when writing recommendations:</w:t>
      </w:r>
    </w:p>
    <w:p w14:paraId="1186D7BC" w14:textId="6CF63683" w:rsidR="001B13B1" w:rsidRPr="00646746" w:rsidRDefault="001B13B1" w:rsidP="008C22FC">
      <w:pPr>
        <w:pStyle w:val="ListParagraph"/>
        <w:numPr>
          <w:ilvl w:val="0"/>
          <w:numId w:val="15"/>
        </w:numPr>
        <w:spacing w:after="160" w:line="259" w:lineRule="auto"/>
        <w:rPr>
          <w:rFonts w:ascii="Gotham Book" w:hAnsi="Gotham Book"/>
        </w:rPr>
      </w:pPr>
      <w:r w:rsidRPr="00646746">
        <w:rPr>
          <w:rFonts w:ascii="Gotham Book" w:hAnsi="Gotham Book"/>
        </w:rPr>
        <w:t>use consistent words and phrasing to convey the strength of the recommendation (for example, NICE in the UK uses the word ‘offer’ for strong recommendations and ‘consider’ for conditional</w:t>
      </w:r>
      <w:r w:rsidR="0081565D" w:rsidRPr="0081565D">
        <w:rPr>
          <w:rFonts w:ascii="Gotham Book" w:hAnsi="Gotham Book"/>
          <w:vertAlign w:val="superscript"/>
        </w:rPr>
        <w:t>38</w:t>
      </w:r>
      <w:r w:rsidR="0081565D">
        <w:rPr>
          <w:rFonts w:ascii="Gotham Book" w:hAnsi="Gotham Book"/>
        </w:rPr>
        <w:t>.</w:t>
      </w:r>
    </w:p>
    <w:p w14:paraId="7D0F124C" w14:textId="77777777" w:rsidR="001B13B1" w:rsidRPr="00646746" w:rsidRDefault="001B13B1" w:rsidP="008C22FC">
      <w:pPr>
        <w:pStyle w:val="ListParagraph"/>
        <w:numPr>
          <w:ilvl w:val="0"/>
          <w:numId w:val="15"/>
        </w:numPr>
        <w:spacing w:after="160" w:line="259" w:lineRule="auto"/>
        <w:rPr>
          <w:rFonts w:ascii="Gotham Book" w:hAnsi="Gotham Book"/>
        </w:rPr>
      </w:pPr>
      <w:r w:rsidRPr="00646746">
        <w:rPr>
          <w:rFonts w:ascii="Gotham Book" w:hAnsi="Gotham Book"/>
        </w:rPr>
        <w:t>consider using symbols and words for strength to avoid misinterpretation</w:t>
      </w:r>
    </w:p>
    <w:p w14:paraId="463DE6FE" w14:textId="77777777" w:rsidR="001B13B1" w:rsidRPr="00646746" w:rsidRDefault="001B13B1" w:rsidP="008C22FC">
      <w:pPr>
        <w:pStyle w:val="ListParagraph"/>
        <w:numPr>
          <w:ilvl w:val="0"/>
          <w:numId w:val="15"/>
        </w:numPr>
        <w:spacing w:after="160" w:line="259" w:lineRule="auto"/>
        <w:rPr>
          <w:rFonts w:ascii="Gotham Book" w:hAnsi="Gotham Book"/>
        </w:rPr>
      </w:pPr>
      <w:r w:rsidRPr="00646746">
        <w:rPr>
          <w:rFonts w:ascii="Gotham Book" w:hAnsi="Gotham Book"/>
        </w:rPr>
        <w:t>write in the active voice wherever possible</w:t>
      </w:r>
    </w:p>
    <w:p w14:paraId="4FD38201" w14:textId="77777777" w:rsidR="001B13B1" w:rsidRPr="00646746" w:rsidRDefault="001B13B1" w:rsidP="008C22FC">
      <w:pPr>
        <w:pStyle w:val="ListParagraph"/>
        <w:numPr>
          <w:ilvl w:val="0"/>
          <w:numId w:val="15"/>
        </w:numPr>
        <w:spacing w:after="160" w:line="259" w:lineRule="auto"/>
        <w:rPr>
          <w:rFonts w:ascii="Gotham Book" w:hAnsi="Gotham Book"/>
        </w:rPr>
      </w:pPr>
      <w:r w:rsidRPr="00646746">
        <w:rPr>
          <w:rFonts w:ascii="Gotham Book" w:hAnsi="Gotham Book"/>
        </w:rPr>
        <w:t>avoid using acronyms, jargon, abbreviations and unnecessary technical language</w:t>
      </w:r>
    </w:p>
    <w:p w14:paraId="002F3124" w14:textId="77777777" w:rsidR="001B13B1" w:rsidRPr="00646746" w:rsidRDefault="001B13B1" w:rsidP="008C22FC">
      <w:pPr>
        <w:pStyle w:val="ListParagraph"/>
        <w:numPr>
          <w:ilvl w:val="0"/>
          <w:numId w:val="15"/>
        </w:numPr>
        <w:spacing w:after="160" w:line="259" w:lineRule="auto"/>
        <w:rPr>
          <w:rFonts w:ascii="Gotham Book" w:hAnsi="Gotham Book"/>
        </w:rPr>
      </w:pPr>
      <w:r w:rsidRPr="00646746">
        <w:rPr>
          <w:rFonts w:ascii="Gotham Book" w:hAnsi="Gotham Book"/>
        </w:rPr>
        <w:t>use shorter, plain English words over longer forms and minimise punctuation</w:t>
      </w:r>
    </w:p>
    <w:p w14:paraId="72745E4E" w14:textId="77777777" w:rsidR="00B92EF2" w:rsidRPr="00646746" w:rsidRDefault="00B92EF2" w:rsidP="00B92EF2">
      <w:pPr>
        <w:rPr>
          <w:rFonts w:ascii="Gotham Book" w:hAnsi="Gotham Book"/>
        </w:rPr>
      </w:pPr>
      <w:r w:rsidRPr="00646746">
        <w:rPr>
          <w:rFonts w:ascii="Gotham Book" w:hAnsi="Gotham Book"/>
        </w:rPr>
        <w:t>Choose action-orientated verbs to convey the strength and urgency of a recommendation. For example, “listen for rhonchi”, “remove dressing after three days”, “stop blood transfusion immediately”, “eat a variety of nutritious foods from the five food groups” and “issue a boiled water advisory.” Resist the temptation to vary the verbs you use simply to avoid repetition. Guidelines that have a consistent nomenclature are often far easier to navigate. They are also more suitable for electronic implementation - for example decision support or automated data linkage.</w:t>
      </w:r>
    </w:p>
    <w:p w14:paraId="10FF269E" w14:textId="77777777" w:rsidR="003C0B06" w:rsidRPr="00006525" w:rsidRDefault="003C0B06" w:rsidP="003C0B06">
      <w:pPr>
        <w:pStyle w:val="Heading4"/>
      </w:pPr>
      <w:r w:rsidRPr="00006525">
        <w:t>Provide a justification (rationale) for the recommendation based on how the guideline group weighed the criteria</w:t>
      </w:r>
    </w:p>
    <w:p w14:paraId="544BD64D" w14:textId="2267EFA3" w:rsidR="00CD3A01" w:rsidRPr="00646746" w:rsidRDefault="00CD3A01" w:rsidP="00CD3A01">
      <w:pPr>
        <w:spacing w:after="0"/>
        <w:rPr>
          <w:rFonts w:ascii="Gotham Book" w:hAnsi="Gotham Book"/>
        </w:rPr>
      </w:pPr>
      <w:r w:rsidRPr="00646746">
        <w:rPr>
          <w:rFonts w:ascii="Gotham Book" w:hAnsi="Gotham Book"/>
        </w:rPr>
        <w:t xml:space="preserve">The final </w:t>
      </w:r>
      <w:proofErr w:type="spellStart"/>
      <w:r w:rsidRPr="00646746">
        <w:rPr>
          <w:rFonts w:ascii="Gotham Book" w:hAnsi="Gotham Book"/>
        </w:rPr>
        <w:t>EtD</w:t>
      </w:r>
      <w:proofErr w:type="spellEnd"/>
      <w:r w:rsidRPr="00646746">
        <w:rPr>
          <w:rFonts w:ascii="Gotham Book" w:hAnsi="Gotham Book"/>
        </w:rPr>
        <w:t xml:space="preserve"> must include a justification (rationale) for the recommendation made by the GDG. The justification should convey how the panel weighed up evidence and other information, focusing on what drove their decision. It is not a restatement of the evidence (this is summarised within the </w:t>
      </w:r>
      <w:proofErr w:type="spellStart"/>
      <w:r w:rsidRPr="00646746">
        <w:rPr>
          <w:rFonts w:ascii="Gotham Book" w:hAnsi="Gotham Book"/>
        </w:rPr>
        <w:t>EtD</w:t>
      </w:r>
      <w:proofErr w:type="spellEnd"/>
      <w:r w:rsidRPr="00646746">
        <w:rPr>
          <w:rFonts w:ascii="Gotham Book" w:hAnsi="Gotham Book"/>
        </w:rPr>
        <w:t xml:space="preserve">), rather it should convey </w:t>
      </w:r>
      <w:r w:rsidR="00542A4D">
        <w:rPr>
          <w:rFonts w:ascii="Gotham Book" w:hAnsi="Gotham Book"/>
        </w:rPr>
        <w:t xml:space="preserve">the </w:t>
      </w:r>
      <w:r w:rsidRPr="00646746">
        <w:rPr>
          <w:rFonts w:ascii="Gotham Book" w:hAnsi="Gotham Book"/>
        </w:rPr>
        <w:t>GDG’s overall interpretation of the evidence, focusing on final deliberations and any points of disagreement</w:t>
      </w:r>
      <w:r w:rsidR="0081693F">
        <w:rPr>
          <w:rFonts w:ascii="Gotham Book" w:hAnsi="Gotham Book"/>
        </w:rPr>
        <w:t xml:space="preserve">. An example </w:t>
      </w:r>
      <w:r w:rsidR="004034EE">
        <w:rPr>
          <w:rFonts w:ascii="Gotham Book" w:hAnsi="Gotham Book"/>
        </w:rPr>
        <w:t xml:space="preserve">is provided below on </w:t>
      </w:r>
      <w:r w:rsidR="00A357C2">
        <w:rPr>
          <w:rFonts w:ascii="Gotham Book" w:hAnsi="Gotham Book"/>
        </w:rPr>
        <w:t>t</w:t>
      </w:r>
      <w:r w:rsidR="004034EE">
        <w:rPr>
          <w:rFonts w:ascii="Gotham Book" w:hAnsi="Gotham Book"/>
        </w:rPr>
        <w:t>ran</w:t>
      </w:r>
      <w:r w:rsidR="00A357C2">
        <w:rPr>
          <w:rFonts w:ascii="Gotham Book" w:hAnsi="Gotham Book"/>
        </w:rPr>
        <w:t>examic acid.</w:t>
      </w:r>
    </w:p>
    <w:p w14:paraId="671BFB21" w14:textId="77777777" w:rsidR="00CD3A01" w:rsidRPr="00646746" w:rsidRDefault="00CD3A01" w:rsidP="00CD3A01">
      <w:pPr>
        <w:spacing w:after="0"/>
        <w:rPr>
          <w:rFonts w:ascii="Gotham Book" w:hAnsi="Gotham Book"/>
        </w:rPr>
      </w:pPr>
    </w:p>
    <w:p w14:paraId="5E1930AF" w14:textId="5A9089E1" w:rsidR="00DF0E86" w:rsidRPr="005C05DC" w:rsidRDefault="00DF0E86" w:rsidP="00CD3A01">
      <w:pPr>
        <w:spacing w:after="0"/>
        <w:rPr>
          <w:rFonts w:ascii="Gotham Book" w:hAnsi="Gotham Book" w:cstheme="minorHAnsi"/>
          <w:b/>
          <w:sz w:val="23"/>
          <w:szCs w:val="23"/>
        </w:rPr>
      </w:pPr>
      <w:r w:rsidRPr="005C05DC">
        <w:rPr>
          <w:rFonts w:ascii="Gotham Book" w:hAnsi="Gotham Book" w:cstheme="minorHAnsi"/>
          <w:b/>
          <w:sz w:val="23"/>
          <w:szCs w:val="23"/>
        </w:rPr>
        <w:t xml:space="preserve">EXAMPLE. </w:t>
      </w:r>
      <w:hyperlink r:id="rId34" w:history="1">
        <w:r w:rsidR="007073B6" w:rsidRPr="005C05DC">
          <w:rPr>
            <w:rStyle w:val="Hyperlink"/>
            <w:rFonts w:ascii="Gotham Book" w:hAnsi="Gotham Book" w:cstheme="minorHAnsi"/>
            <w:b/>
            <w:sz w:val="23"/>
            <w:szCs w:val="23"/>
          </w:rPr>
          <w:t>Tranexamic acid for postpartum haemorrhage in women with von Willebrand disease (VWD)</w:t>
        </w:r>
      </w:hyperlink>
    </w:p>
    <w:tbl>
      <w:tblPr>
        <w:tblStyle w:val="TableGrid"/>
        <w:tblW w:w="0" w:type="auto"/>
        <w:tblLook w:val="04A0" w:firstRow="1" w:lastRow="0" w:firstColumn="1" w:lastColumn="0" w:noHBand="0" w:noVBand="1"/>
      </w:tblPr>
      <w:tblGrid>
        <w:gridCol w:w="9016"/>
      </w:tblGrid>
      <w:tr w:rsidR="007073B6" w:rsidRPr="00C66AFF" w14:paraId="2621A6E7" w14:textId="77777777" w:rsidTr="007073B6">
        <w:tc>
          <w:tcPr>
            <w:tcW w:w="9016" w:type="dxa"/>
          </w:tcPr>
          <w:p w14:paraId="78A57353" w14:textId="77777777" w:rsidR="007073B6" w:rsidRPr="00646746" w:rsidRDefault="007073B6" w:rsidP="007073B6">
            <w:pPr>
              <w:pStyle w:val="Default"/>
              <w:rPr>
                <w:rFonts w:ascii="Gotham Book" w:hAnsi="Gotham Book" w:cstheme="minorHAnsi"/>
                <w:sz w:val="22"/>
                <w:szCs w:val="22"/>
              </w:rPr>
            </w:pPr>
            <w:r w:rsidRPr="00646746">
              <w:rPr>
                <w:rFonts w:ascii="Gotham Book" w:hAnsi="Gotham Book" w:cstheme="minorHAnsi"/>
                <w:b/>
                <w:sz w:val="22"/>
                <w:szCs w:val="22"/>
              </w:rPr>
              <w:t xml:space="preserve">Justification. </w:t>
            </w:r>
            <w:r w:rsidRPr="00646746">
              <w:rPr>
                <w:rFonts w:ascii="Gotham Book" w:hAnsi="Gotham Book" w:cstheme="minorHAnsi"/>
                <w:sz w:val="22"/>
                <w:szCs w:val="22"/>
              </w:rPr>
              <w:t xml:space="preserve">The recommendation for using tranexamic acid in women with VWD during the postpartum period places a high value on the benefits of prevention and treatment during significant life-threatening </w:t>
            </w:r>
            <w:proofErr w:type="spellStart"/>
            <w:r w:rsidRPr="00646746">
              <w:rPr>
                <w:rFonts w:ascii="Gotham Book" w:hAnsi="Gotham Book" w:cstheme="minorHAnsi"/>
                <w:sz w:val="22"/>
                <w:szCs w:val="22"/>
              </w:rPr>
              <w:t>hemorrhages</w:t>
            </w:r>
            <w:proofErr w:type="spellEnd"/>
            <w:r w:rsidRPr="00646746">
              <w:rPr>
                <w:rFonts w:ascii="Gotham Book" w:hAnsi="Gotham Book" w:cstheme="minorHAnsi"/>
                <w:sz w:val="22"/>
                <w:szCs w:val="22"/>
              </w:rPr>
              <w:t xml:space="preserve"> and the small harms of the intervention. The intervention is not costly, and it is acceptable to key stakeholders and feasible to implement. </w:t>
            </w:r>
          </w:p>
          <w:p w14:paraId="7552D02B" w14:textId="77777777" w:rsidR="007073B6" w:rsidRPr="00646746" w:rsidRDefault="007073B6" w:rsidP="007073B6">
            <w:pPr>
              <w:pStyle w:val="Default"/>
              <w:rPr>
                <w:rFonts w:ascii="Gotham Book" w:hAnsi="Gotham Book" w:cstheme="minorHAnsi"/>
                <w:sz w:val="22"/>
                <w:szCs w:val="22"/>
              </w:rPr>
            </w:pPr>
            <w:r w:rsidRPr="00646746">
              <w:rPr>
                <w:rFonts w:ascii="Gotham Book" w:hAnsi="Gotham Book" w:cstheme="minorHAnsi"/>
                <w:sz w:val="22"/>
                <w:szCs w:val="22"/>
              </w:rPr>
              <w:t xml:space="preserve">The panel deliberated as to whether this recommendation should be a strong recommendation, given the possibility of preventing life-threatening bleeding in </w:t>
            </w:r>
            <w:r w:rsidRPr="00646746">
              <w:rPr>
                <w:rFonts w:ascii="Gotham Book" w:hAnsi="Gotham Book" w:cstheme="minorHAnsi"/>
                <w:sz w:val="22"/>
                <w:szCs w:val="22"/>
              </w:rPr>
              <w:lastRenderedPageBreak/>
              <w:t xml:space="preserve">the setting of very minimal risk. However, a majority could not agree on a strong recommendation because of the lack of high-certainty evidence. </w:t>
            </w:r>
          </w:p>
          <w:p w14:paraId="640BEF28" w14:textId="77777777" w:rsidR="007073B6" w:rsidRPr="00646746" w:rsidRDefault="007073B6" w:rsidP="007073B6">
            <w:pPr>
              <w:pStyle w:val="Default"/>
              <w:rPr>
                <w:rFonts w:ascii="Gotham Book" w:hAnsi="Gotham Book" w:cstheme="minorHAnsi"/>
                <w:sz w:val="22"/>
                <w:szCs w:val="22"/>
              </w:rPr>
            </w:pPr>
            <w:r w:rsidRPr="00646746">
              <w:rPr>
                <w:rFonts w:ascii="Gotham Book" w:hAnsi="Gotham Book" w:cstheme="minorHAnsi"/>
                <w:sz w:val="22"/>
                <w:szCs w:val="22"/>
              </w:rPr>
              <w:t xml:space="preserve">In the </w:t>
            </w:r>
            <w:proofErr w:type="spellStart"/>
            <w:r w:rsidRPr="00646746">
              <w:rPr>
                <w:rFonts w:ascii="Gotham Book" w:hAnsi="Gotham Book" w:cstheme="minorHAnsi"/>
                <w:sz w:val="22"/>
                <w:szCs w:val="22"/>
              </w:rPr>
              <w:t>EtD</w:t>
            </w:r>
            <w:proofErr w:type="spellEnd"/>
            <w:r w:rsidRPr="00646746">
              <w:rPr>
                <w:rFonts w:ascii="Gotham Book" w:hAnsi="Gotham Book" w:cstheme="minorHAnsi"/>
                <w:sz w:val="22"/>
                <w:szCs w:val="22"/>
              </w:rPr>
              <w:t xml:space="preserve">, the GDG provided further explanation for making a conditional recommendation </w:t>
            </w:r>
          </w:p>
          <w:p w14:paraId="50F6C648" w14:textId="5A18D643" w:rsidR="007073B6" w:rsidRPr="00AF1765" w:rsidRDefault="007073B6" w:rsidP="007073B6">
            <w:pPr>
              <w:rPr>
                <w:rFonts w:ascii="Gotham Book" w:hAnsi="Gotham Book" w:cstheme="minorHAnsi"/>
                <w:i/>
                <w:iCs/>
              </w:rPr>
            </w:pPr>
            <w:r w:rsidRPr="00AF1765">
              <w:rPr>
                <w:rFonts w:ascii="Gotham Book" w:hAnsi="Gotham Book" w:cstheme="minorHAnsi"/>
                <w:i/>
                <w:iCs/>
              </w:rPr>
              <w:t xml:space="preserve">“There was a vote among panel members to make this recommendation a strong recommendation, based on the large body of indirect evidence showing benefits on postpartum </w:t>
            </w:r>
            <w:proofErr w:type="spellStart"/>
            <w:r w:rsidRPr="00AF1765">
              <w:rPr>
                <w:rFonts w:ascii="Gotham Book" w:hAnsi="Gotham Book" w:cstheme="minorHAnsi"/>
                <w:i/>
                <w:iCs/>
              </w:rPr>
              <w:t>hemorrhage</w:t>
            </w:r>
            <w:proofErr w:type="spellEnd"/>
            <w:r w:rsidRPr="00AF1765">
              <w:rPr>
                <w:rFonts w:ascii="Gotham Book" w:hAnsi="Gotham Book" w:cstheme="minorHAnsi"/>
                <w:i/>
                <w:iCs/>
              </w:rPr>
              <w:t xml:space="preserve">, and the potentially catastrophic consequences of this outcome in women with VWD. Out of the 13 panel members who voted (those without conflicts of interest), 7 panel members voted to make this a strong recommendation. This did not meet the threshold of 80% necessary to make this a strong recommendation.” </w:t>
            </w:r>
          </w:p>
        </w:tc>
      </w:tr>
    </w:tbl>
    <w:p w14:paraId="1642FEB4" w14:textId="77777777" w:rsidR="007073B6" w:rsidRPr="00646746" w:rsidRDefault="007073B6" w:rsidP="00CD3A01">
      <w:pPr>
        <w:spacing w:after="0"/>
        <w:rPr>
          <w:rFonts w:ascii="Gotham Book" w:hAnsi="Gotham Book"/>
        </w:rPr>
      </w:pPr>
    </w:p>
    <w:p w14:paraId="0532E666" w14:textId="77777777" w:rsidR="000D3F62" w:rsidRPr="00646746" w:rsidRDefault="000D3F62" w:rsidP="005C05DC">
      <w:pPr>
        <w:pStyle w:val="Heading4"/>
        <w:rPr>
          <w:i/>
          <w:color w:val="365F91" w:themeColor="accent1" w:themeShade="BF"/>
        </w:rPr>
      </w:pPr>
      <w:r w:rsidRPr="00646746">
        <w:t xml:space="preserve">Use the </w:t>
      </w:r>
      <w:proofErr w:type="spellStart"/>
      <w:r w:rsidRPr="00646746">
        <w:t>EtD</w:t>
      </w:r>
      <w:proofErr w:type="spellEnd"/>
      <w:r w:rsidRPr="00646746">
        <w:t xml:space="preserve"> process to develop good practice statements </w:t>
      </w:r>
    </w:p>
    <w:p w14:paraId="66E99337" w14:textId="428FE9B9" w:rsidR="007073B6" w:rsidRPr="00646746" w:rsidRDefault="000D3F62" w:rsidP="00CD3A01">
      <w:pPr>
        <w:spacing w:after="0"/>
        <w:rPr>
          <w:rFonts w:ascii="Gotham Book" w:hAnsi="Gotham Book"/>
        </w:rPr>
      </w:pPr>
      <w:r w:rsidRPr="00646746">
        <w:rPr>
          <w:rFonts w:ascii="Gotham Book" w:hAnsi="Gotham Book"/>
        </w:rPr>
        <w:t>In certain circumstances, a GDG may develop actionable statements without a systematic review of evidence. GRADE provides criteria and a proposed process for developing these good practice statements (GPS) (</w:t>
      </w:r>
      <w:r w:rsidRPr="00AF1765">
        <w:rPr>
          <w:rFonts w:ascii="Gotham Book" w:hAnsi="Gotham Book"/>
          <w:u w:val="single"/>
        </w:rPr>
        <w:t xml:space="preserve">Box </w:t>
      </w:r>
      <w:r w:rsidR="00A62A58" w:rsidRPr="00AF1765">
        <w:rPr>
          <w:rFonts w:ascii="Gotham Book" w:hAnsi="Gotham Book"/>
          <w:u w:val="single"/>
        </w:rPr>
        <w:t>3</w:t>
      </w:r>
      <w:r w:rsidRPr="00646746">
        <w:rPr>
          <w:rFonts w:ascii="Gotham Book" w:hAnsi="Gotham Book"/>
        </w:rPr>
        <w:t>).</w:t>
      </w:r>
    </w:p>
    <w:p w14:paraId="69AA621D" w14:textId="77777777" w:rsidR="000D3F62" w:rsidRPr="00646746" w:rsidRDefault="000D3F62" w:rsidP="00CD3A01">
      <w:pPr>
        <w:spacing w:after="0"/>
        <w:rPr>
          <w:rFonts w:ascii="Gotham Book" w:hAnsi="Gotham Book"/>
        </w:rPr>
      </w:pPr>
    </w:p>
    <w:p w14:paraId="251F24F0" w14:textId="21223A78" w:rsidR="000D3F62" w:rsidRPr="00646746" w:rsidRDefault="000D3F62" w:rsidP="000D3F62">
      <w:pPr>
        <w:spacing w:after="0"/>
        <w:rPr>
          <w:rFonts w:ascii="Gotham Book" w:hAnsi="Gotham Book"/>
        </w:rPr>
      </w:pPr>
      <w:r w:rsidRPr="00646746">
        <w:rPr>
          <w:rFonts w:ascii="Gotham Book" w:hAnsi="Gotham Book"/>
        </w:rPr>
        <w:t>If the criteria for a GPS are met (</w:t>
      </w:r>
      <w:r w:rsidRPr="00AF1765">
        <w:rPr>
          <w:rFonts w:ascii="Gotham Book" w:hAnsi="Gotham Book"/>
          <w:u w:val="single"/>
        </w:rPr>
        <w:t xml:space="preserve">Box </w:t>
      </w:r>
      <w:r w:rsidR="00A62A58" w:rsidRPr="00AF1765">
        <w:rPr>
          <w:rFonts w:ascii="Gotham Book" w:hAnsi="Gotham Book"/>
          <w:u w:val="single"/>
        </w:rPr>
        <w:t>3</w:t>
      </w:r>
      <w:r w:rsidRPr="00646746">
        <w:rPr>
          <w:rFonts w:ascii="Gotham Book" w:hAnsi="Gotham Book"/>
        </w:rPr>
        <w:t xml:space="preserve">), then it is inappropriate to use GRADE methods for developing </w:t>
      </w:r>
      <w:r w:rsidR="00B7322F">
        <w:rPr>
          <w:rFonts w:ascii="Gotham Book" w:hAnsi="Gotham Book"/>
        </w:rPr>
        <w:t xml:space="preserve">a </w:t>
      </w:r>
      <w:r w:rsidRPr="00646746">
        <w:rPr>
          <w:rFonts w:ascii="Gotham Book" w:hAnsi="Gotham Book"/>
        </w:rPr>
        <w:t>formal recommendation</w:t>
      </w:r>
      <w:r w:rsidR="0081565D" w:rsidRPr="0081565D">
        <w:rPr>
          <w:rFonts w:ascii="Gotham Book" w:hAnsi="Gotham Book"/>
          <w:vertAlign w:val="superscript"/>
        </w:rPr>
        <w:t>39</w:t>
      </w:r>
      <w:r w:rsidR="0081565D">
        <w:rPr>
          <w:rFonts w:ascii="Gotham Book" w:hAnsi="Gotham Book"/>
        </w:rPr>
        <w:t xml:space="preserve">. </w:t>
      </w:r>
      <w:r w:rsidRPr="00646746">
        <w:rPr>
          <w:rFonts w:ascii="Gotham Book" w:hAnsi="Gotham Book"/>
        </w:rPr>
        <w:t>The certainty of evidence is not graded and the GPS must be clearly labelled as a ‘good practice statement’ (not a ‘recommendation’). The converse is also true, a question addressed by systematic review should be developed as a formal recommendation using GRADE methods even if only very low certainty indirect evidence was found</w:t>
      </w:r>
      <w:r w:rsidR="0081565D" w:rsidRPr="0081565D">
        <w:rPr>
          <w:rFonts w:ascii="Gotham Book" w:hAnsi="Gotham Book"/>
          <w:vertAlign w:val="superscript"/>
        </w:rPr>
        <w:t>40</w:t>
      </w:r>
      <w:r w:rsidR="0081565D">
        <w:rPr>
          <w:rFonts w:ascii="Gotham Book" w:hAnsi="Gotham Book"/>
        </w:rPr>
        <w:t xml:space="preserve">. </w:t>
      </w:r>
      <w:r w:rsidRPr="00646746">
        <w:rPr>
          <w:rFonts w:ascii="Gotham Book" w:hAnsi="Gotham Book"/>
        </w:rPr>
        <w:t xml:space="preserve">An actionable statement developed after systematic review should not be presented as a good practice statement (or other type of ‘statement’) simply because the evidence is of low or very low certainty. </w:t>
      </w:r>
    </w:p>
    <w:p w14:paraId="0C0F42A1" w14:textId="77777777" w:rsidR="000D3F62" w:rsidRPr="00646746" w:rsidRDefault="000D3F62" w:rsidP="000D3F62">
      <w:pPr>
        <w:spacing w:after="0"/>
        <w:rPr>
          <w:rFonts w:ascii="Gotham Book" w:hAnsi="Gotham Book"/>
        </w:rPr>
      </w:pPr>
    </w:p>
    <w:p w14:paraId="0A703562" w14:textId="39E721B9" w:rsidR="000D3F62" w:rsidRPr="00646746" w:rsidRDefault="000D3F62" w:rsidP="000D3F62">
      <w:pPr>
        <w:spacing w:after="0"/>
        <w:rPr>
          <w:rFonts w:ascii="Gotham Book" w:hAnsi="Gotham Book"/>
        </w:rPr>
      </w:pPr>
      <w:r w:rsidRPr="00646746">
        <w:rPr>
          <w:rFonts w:ascii="Gotham Book" w:hAnsi="Gotham Book"/>
        </w:rPr>
        <w:t xml:space="preserve">The basis for a good practice statement can vary. </w:t>
      </w:r>
      <w:r w:rsidRPr="00AF1765">
        <w:rPr>
          <w:rFonts w:ascii="Gotham Book" w:hAnsi="Gotham Book"/>
          <w:u w:val="single"/>
        </w:rPr>
        <w:t xml:space="preserve">Table </w:t>
      </w:r>
      <w:r w:rsidR="00DC1C7D" w:rsidRPr="00AF1765">
        <w:rPr>
          <w:rFonts w:ascii="Gotham Book" w:hAnsi="Gotham Book"/>
          <w:u w:val="single"/>
        </w:rPr>
        <w:t>4</w:t>
      </w:r>
      <w:r w:rsidRPr="00646746">
        <w:rPr>
          <w:rFonts w:ascii="Gotham Book" w:hAnsi="Gotham Book"/>
        </w:rPr>
        <w:t xml:space="preserve"> summarises the requirements with examples</w:t>
      </w:r>
      <w:r w:rsidR="00CD35D7" w:rsidRPr="00CD35D7">
        <w:rPr>
          <w:rFonts w:ascii="Gotham Book" w:hAnsi="Gotham Book"/>
          <w:vertAlign w:val="superscript"/>
        </w:rPr>
        <w:t>39</w:t>
      </w:r>
      <w:r w:rsidR="00CD35D7">
        <w:rPr>
          <w:rFonts w:ascii="Gotham Book" w:hAnsi="Gotham Book"/>
        </w:rPr>
        <w:t>.</w:t>
      </w:r>
    </w:p>
    <w:p w14:paraId="6167FCAF" w14:textId="77777777" w:rsidR="000D3F62" w:rsidRPr="00646746" w:rsidRDefault="000D3F62" w:rsidP="000D3F62">
      <w:pPr>
        <w:spacing w:after="0"/>
        <w:rPr>
          <w:rFonts w:ascii="Gotham Book" w:hAnsi="Gotham Book"/>
        </w:rPr>
      </w:pPr>
    </w:p>
    <w:p w14:paraId="0E0FDACA" w14:textId="07C2F495" w:rsidR="000D3F62" w:rsidRPr="005C05DC" w:rsidRDefault="000D3F62" w:rsidP="000D3F62">
      <w:pPr>
        <w:spacing w:after="0"/>
        <w:rPr>
          <w:rFonts w:ascii="Gotham Book" w:hAnsi="Gotham Book" w:cstheme="minorHAnsi"/>
          <w:b/>
          <w:sz w:val="23"/>
          <w:szCs w:val="23"/>
        </w:rPr>
      </w:pPr>
      <w:r w:rsidRPr="005C05DC">
        <w:rPr>
          <w:rFonts w:ascii="Gotham Book" w:hAnsi="Gotham Book" w:cstheme="minorHAnsi"/>
          <w:b/>
          <w:sz w:val="23"/>
          <w:szCs w:val="23"/>
        </w:rPr>
        <w:t xml:space="preserve">Box </w:t>
      </w:r>
      <w:r w:rsidR="00A62A58" w:rsidRPr="005C05DC">
        <w:rPr>
          <w:rFonts w:ascii="Gotham Book" w:hAnsi="Gotham Book" w:cstheme="minorHAnsi"/>
          <w:b/>
          <w:bCs/>
          <w:sz w:val="23"/>
          <w:szCs w:val="23"/>
        </w:rPr>
        <w:t>3</w:t>
      </w:r>
      <w:r w:rsidRPr="005C05DC">
        <w:rPr>
          <w:rFonts w:ascii="Gotham Book" w:hAnsi="Gotham Book" w:cstheme="minorHAnsi"/>
          <w:b/>
          <w:sz w:val="23"/>
          <w:szCs w:val="23"/>
        </w:rPr>
        <w:t xml:space="preserve">. </w:t>
      </w:r>
      <w:r w:rsidR="00705DC0" w:rsidRPr="005C05DC">
        <w:rPr>
          <w:rFonts w:ascii="Gotham Book" w:hAnsi="Gotham Book" w:cstheme="minorHAnsi"/>
          <w:b/>
          <w:sz w:val="23"/>
          <w:szCs w:val="23"/>
        </w:rPr>
        <w:t>Definition, process and criteria for developing GRADE good practice</w:t>
      </w:r>
      <w:r w:rsidR="00F561D0" w:rsidRPr="00F561D0">
        <w:rPr>
          <w:rFonts w:ascii="Gotham Book" w:hAnsi="Gotham Book" w:cstheme="minorHAnsi"/>
          <w:b/>
          <w:sz w:val="23"/>
          <w:szCs w:val="23"/>
          <w:vertAlign w:val="superscript"/>
        </w:rPr>
        <w:t>†</w:t>
      </w:r>
      <w:r w:rsidR="009B5DE3" w:rsidRPr="009B5DE3">
        <w:rPr>
          <w:rFonts w:ascii="Gotham Book" w:hAnsi="Gotham Book" w:cstheme="minorHAnsi"/>
          <w:b/>
          <w:sz w:val="23"/>
          <w:szCs w:val="23"/>
          <w:vertAlign w:val="superscript"/>
        </w:rPr>
        <w:t>39</w:t>
      </w:r>
    </w:p>
    <w:tbl>
      <w:tblPr>
        <w:tblStyle w:val="TableGrid"/>
        <w:tblW w:w="0" w:type="auto"/>
        <w:tblLook w:val="04A0" w:firstRow="1" w:lastRow="0" w:firstColumn="1" w:lastColumn="0" w:noHBand="0" w:noVBand="1"/>
      </w:tblPr>
      <w:tblGrid>
        <w:gridCol w:w="9016"/>
      </w:tblGrid>
      <w:tr w:rsidR="00705DC0" w:rsidRPr="00C66AFF" w14:paraId="74B702F4" w14:textId="77777777" w:rsidTr="00705DC0">
        <w:tc>
          <w:tcPr>
            <w:tcW w:w="9016" w:type="dxa"/>
          </w:tcPr>
          <w:p w14:paraId="4EEECE3E" w14:textId="34F644EC" w:rsidR="00610EEC" w:rsidRPr="00646746" w:rsidRDefault="00610EEC" w:rsidP="00610EEC">
            <w:pPr>
              <w:pStyle w:val="Default"/>
              <w:rPr>
                <w:rFonts w:ascii="Gotham Book" w:hAnsi="Gotham Book" w:cstheme="minorHAnsi"/>
                <w:sz w:val="22"/>
                <w:szCs w:val="22"/>
              </w:rPr>
            </w:pPr>
            <w:r w:rsidRPr="00646746">
              <w:rPr>
                <w:rFonts w:ascii="Gotham Book" w:hAnsi="Gotham Book" w:cstheme="minorHAnsi"/>
                <w:i/>
                <w:sz w:val="22"/>
                <w:szCs w:val="22"/>
              </w:rPr>
              <w:t>“Good practice statements (GPSs) are developed when there is high certainty that the desirable effects of an intervention clearly outweigh its undesirable effects, but the body of supportive evidence is indirect and other criteria for their development are fulfilled.”</w:t>
            </w:r>
            <w:r w:rsidR="0081565D" w:rsidRPr="0081565D">
              <w:rPr>
                <w:rFonts w:ascii="Gotham Book" w:hAnsi="Gotham Book" w:cstheme="minorHAnsi"/>
                <w:i/>
                <w:sz w:val="22"/>
                <w:szCs w:val="22"/>
                <w:vertAlign w:val="superscript"/>
              </w:rPr>
              <w:t>39</w:t>
            </w:r>
            <w:r w:rsidRPr="00646746">
              <w:rPr>
                <w:rFonts w:ascii="Gotham Book" w:hAnsi="Gotham Book" w:cstheme="minorHAnsi"/>
                <w:sz w:val="22"/>
                <w:szCs w:val="22"/>
              </w:rPr>
              <w:t xml:space="preserve"> </w:t>
            </w:r>
          </w:p>
          <w:p w14:paraId="3452D799" w14:textId="77777777" w:rsidR="00DC1C7D" w:rsidRPr="00646746" w:rsidRDefault="00DC1C7D" w:rsidP="00610EEC">
            <w:pPr>
              <w:pStyle w:val="Default"/>
              <w:rPr>
                <w:rFonts w:ascii="Gotham Book" w:hAnsi="Gotham Book" w:cstheme="minorHAnsi"/>
                <w:sz w:val="22"/>
                <w:szCs w:val="22"/>
              </w:rPr>
            </w:pPr>
          </w:p>
          <w:p w14:paraId="2C2DF495" w14:textId="77777777" w:rsidR="00705DC0" w:rsidRPr="00646746" w:rsidRDefault="00610EEC" w:rsidP="00610EEC">
            <w:pPr>
              <w:rPr>
                <w:rFonts w:ascii="Gotham Book" w:hAnsi="Gotham Book" w:cstheme="minorHAnsi"/>
              </w:rPr>
            </w:pPr>
            <w:r w:rsidRPr="00646746">
              <w:rPr>
                <w:rFonts w:ascii="Gotham Book" w:hAnsi="Gotham Book" w:cstheme="minorHAnsi"/>
              </w:rPr>
              <w:t xml:space="preserve">As with other actionable statements, the GPS should address a prioritised question framed as a PICO question, with clear population and intervention components (may be a stand-alone question or part of a recommendation question) </w:t>
            </w:r>
          </w:p>
          <w:p w14:paraId="14412852" w14:textId="77777777" w:rsidR="00610EEC" w:rsidRPr="00646746" w:rsidRDefault="00610EEC" w:rsidP="00610EEC">
            <w:pPr>
              <w:rPr>
                <w:rFonts w:ascii="Gotham Book" w:hAnsi="Gotham Book" w:cstheme="minorHAnsi"/>
              </w:rPr>
            </w:pPr>
          </w:p>
          <w:p w14:paraId="27F55424" w14:textId="77777777" w:rsidR="00610EEC" w:rsidRPr="00646746" w:rsidRDefault="00610EEC" w:rsidP="00610EEC">
            <w:pPr>
              <w:rPr>
                <w:rFonts w:ascii="Gotham Book" w:hAnsi="Gotham Book" w:cstheme="minorHAnsi"/>
                <w:b/>
              </w:rPr>
            </w:pPr>
            <w:r w:rsidRPr="00646746">
              <w:rPr>
                <w:rFonts w:ascii="Gotham Book" w:hAnsi="Gotham Book" w:cstheme="minorHAnsi"/>
                <w:b/>
              </w:rPr>
              <w:t>Criteria to be fulfilled:</w:t>
            </w:r>
          </w:p>
          <w:p w14:paraId="5C88C356" w14:textId="77777777" w:rsidR="00446347" w:rsidRPr="00646746" w:rsidRDefault="00446347" w:rsidP="00446347">
            <w:pPr>
              <w:pStyle w:val="Default"/>
              <w:rPr>
                <w:rFonts w:ascii="Gotham Book" w:hAnsi="Gotham Book" w:cstheme="minorHAnsi"/>
                <w:color w:val="auto"/>
              </w:rPr>
            </w:pPr>
          </w:p>
          <w:p w14:paraId="05BAA791" w14:textId="77777777" w:rsidR="00446347" w:rsidRPr="00646746" w:rsidRDefault="00446347" w:rsidP="00446347">
            <w:pPr>
              <w:pStyle w:val="Default"/>
              <w:rPr>
                <w:rFonts w:ascii="Gotham Book" w:hAnsi="Gotham Book" w:cstheme="minorHAnsi"/>
                <w:sz w:val="22"/>
                <w:szCs w:val="22"/>
              </w:rPr>
            </w:pPr>
            <w:r w:rsidRPr="00646746">
              <w:rPr>
                <w:rFonts w:ascii="Gotham Book" w:hAnsi="Gotham Book" w:cstheme="minorHAnsi"/>
                <w:sz w:val="22"/>
                <w:szCs w:val="22"/>
              </w:rPr>
              <w:t xml:space="preserve">1. Ensure that the statement is necessary to healthcare practice (provide the rationale, e.g. doing the alternative would be inappropriate because it would not conform to ethical norms) </w:t>
            </w:r>
          </w:p>
          <w:p w14:paraId="64BB19AD" w14:textId="77777777" w:rsidR="00446347" w:rsidRPr="00646746" w:rsidRDefault="00446347" w:rsidP="00446347">
            <w:pPr>
              <w:pStyle w:val="Default"/>
              <w:rPr>
                <w:rFonts w:ascii="Gotham Book" w:hAnsi="Gotham Book" w:cstheme="minorHAnsi"/>
                <w:sz w:val="22"/>
                <w:szCs w:val="22"/>
              </w:rPr>
            </w:pPr>
            <w:r w:rsidRPr="00646746">
              <w:rPr>
                <w:rFonts w:ascii="Gotham Book" w:hAnsi="Gotham Book" w:cstheme="minorHAnsi"/>
                <w:sz w:val="22"/>
                <w:szCs w:val="22"/>
              </w:rPr>
              <w:t xml:space="preserve">2. Assess the potential consequences of implementing the statement using </w:t>
            </w:r>
            <w:proofErr w:type="spellStart"/>
            <w:r w:rsidRPr="00646746">
              <w:rPr>
                <w:rFonts w:ascii="Gotham Book" w:hAnsi="Gotham Book" w:cstheme="minorHAnsi"/>
                <w:sz w:val="22"/>
                <w:szCs w:val="22"/>
              </w:rPr>
              <w:t>EtD</w:t>
            </w:r>
            <w:proofErr w:type="spellEnd"/>
            <w:r w:rsidRPr="00646746">
              <w:rPr>
                <w:rFonts w:ascii="Gotham Book" w:hAnsi="Gotham Book" w:cstheme="minorHAnsi"/>
                <w:sz w:val="22"/>
                <w:szCs w:val="22"/>
              </w:rPr>
              <w:t xml:space="preserve"> criteria (should result in large positive net consequences) </w:t>
            </w:r>
          </w:p>
          <w:p w14:paraId="78D4DDEE" w14:textId="77777777" w:rsidR="00446347" w:rsidRPr="00646746" w:rsidRDefault="00446347" w:rsidP="00446347">
            <w:pPr>
              <w:pStyle w:val="Default"/>
              <w:rPr>
                <w:rFonts w:ascii="Gotham Book" w:hAnsi="Gotham Book" w:cstheme="minorHAnsi"/>
                <w:sz w:val="22"/>
                <w:szCs w:val="22"/>
              </w:rPr>
            </w:pPr>
            <w:r w:rsidRPr="00646746">
              <w:rPr>
                <w:rFonts w:ascii="Gotham Book" w:hAnsi="Gotham Book" w:cstheme="minorHAnsi"/>
                <w:sz w:val="22"/>
                <w:szCs w:val="22"/>
              </w:rPr>
              <w:t xml:space="preserve">3. Confirm that collecting and summarising the evidence is a poor use of a guideline panel’s time, energy, or resources (may require a scoping search) </w:t>
            </w:r>
          </w:p>
          <w:p w14:paraId="2208BADA" w14:textId="77777777" w:rsidR="00610EEC" w:rsidRPr="00646746" w:rsidRDefault="00610EEC" w:rsidP="00610EEC">
            <w:pPr>
              <w:rPr>
                <w:rFonts w:ascii="Gotham Book" w:hAnsi="Gotham Book" w:cstheme="minorHAnsi"/>
              </w:rPr>
            </w:pPr>
          </w:p>
          <w:p w14:paraId="316CF0CA" w14:textId="77777777" w:rsidR="00446347" w:rsidRPr="00646746" w:rsidRDefault="00446347" w:rsidP="00446347">
            <w:pPr>
              <w:pStyle w:val="Default"/>
              <w:rPr>
                <w:rFonts w:ascii="Gotham Book" w:hAnsi="Gotham Book" w:cstheme="minorHAnsi"/>
              </w:rPr>
            </w:pPr>
            <w:r w:rsidRPr="00646746">
              <w:rPr>
                <w:rFonts w:ascii="Gotham Book" w:hAnsi="Gotham Book" w:cstheme="minorHAnsi"/>
                <w:sz w:val="22"/>
                <w:szCs w:val="22"/>
              </w:rPr>
              <w:t xml:space="preserve">GRADE guidance has been approved (forthcoming) to elaborate further on this process. </w:t>
            </w:r>
          </w:p>
          <w:p w14:paraId="57C67D05" w14:textId="79B5B702" w:rsidR="00446347" w:rsidRPr="00646746" w:rsidRDefault="00446347" w:rsidP="00610EEC">
            <w:pPr>
              <w:rPr>
                <w:rFonts w:ascii="Gotham Book" w:hAnsi="Gotham Book" w:cstheme="minorHAnsi"/>
              </w:rPr>
            </w:pPr>
          </w:p>
        </w:tc>
      </w:tr>
    </w:tbl>
    <w:p w14:paraId="48B3638D" w14:textId="7FFDF3AA" w:rsidR="00705DC0" w:rsidRDefault="00F561D0" w:rsidP="000D3F62">
      <w:pPr>
        <w:spacing w:after="0"/>
        <w:rPr>
          <w:rFonts w:ascii="Gotham Book" w:hAnsi="Gotham Book"/>
          <w:sz w:val="23"/>
          <w:szCs w:val="23"/>
        </w:rPr>
      </w:pPr>
      <w:r w:rsidRPr="00F561D0">
        <w:rPr>
          <w:rFonts w:ascii="Gotham Book" w:hAnsi="Gotham Book" w:cstheme="minorHAnsi"/>
          <w:b/>
          <w:sz w:val="23"/>
          <w:szCs w:val="23"/>
          <w:vertAlign w:val="superscript"/>
        </w:rPr>
        <w:lastRenderedPageBreak/>
        <w:t>†</w:t>
      </w:r>
      <w:r w:rsidR="009B5DE3">
        <w:rPr>
          <w:rFonts w:ascii="Gotham Book" w:hAnsi="Gotham Book"/>
          <w:sz w:val="23"/>
          <w:szCs w:val="23"/>
        </w:rPr>
        <w:t xml:space="preserve">Based on </w:t>
      </w:r>
      <w:proofErr w:type="spellStart"/>
      <w:r w:rsidR="00D77DD7" w:rsidRPr="00D77DD7">
        <w:rPr>
          <w:rFonts w:ascii="Gotham Book" w:hAnsi="Gotham Book"/>
          <w:i/>
          <w:iCs/>
          <w:sz w:val="23"/>
          <w:szCs w:val="23"/>
        </w:rPr>
        <w:t>Dewidar</w:t>
      </w:r>
      <w:proofErr w:type="spellEnd"/>
      <w:r w:rsidR="00D77DD7" w:rsidRPr="00D77DD7">
        <w:rPr>
          <w:rFonts w:ascii="Gotham Book" w:hAnsi="Gotham Book"/>
          <w:i/>
          <w:iCs/>
          <w:sz w:val="23"/>
          <w:szCs w:val="23"/>
        </w:rPr>
        <w:t xml:space="preserve">, O., Lotfi, T., </w:t>
      </w:r>
      <w:proofErr w:type="spellStart"/>
      <w:r w:rsidR="00D77DD7" w:rsidRPr="00D77DD7">
        <w:rPr>
          <w:rFonts w:ascii="Gotham Book" w:hAnsi="Gotham Book"/>
          <w:i/>
          <w:iCs/>
          <w:sz w:val="23"/>
          <w:szCs w:val="23"/>
        </w:rPr>
        <w:t>Langendam</w:t>
      </w:r>
      <w:proofErr w:type="spellEnd"/>
      <w:r w:rsidR="00D77DD7" w:rsidRPr="00D77DD7">
        <w:rPr>
          <w:rFonts w:ascii="Gotham Book" w:hAnsi="Gotham Book"/>
          <w:i/>
          <w:iCs/>
          <w:sz w:val="23"/>
          <w:szCs w:val="23"/>
        </w:rPr>
        <w:t xml:space="preserve">, MW., </w:t>
      </w:r>
      <w:proofErr w:type="spellStart"/>
      <w:r w:rsidR="00D77DD7" w:rsidRPr="00D77DD7">
        <w:rPr>
          <w:rFonts w:ascii="Gotham Book" w:hAnsi="Gotham Book"/>
          <w:i/>
          <w:iCs/>
          <w:sz w:val="23"/>
          <w:szCs w:val="23"/>
        </w:rPr>
        <w:t>Parmelli</w:t>
      </w:r>
      <w:proofErr w:type="spellEnd"/>
      <w:r w:rsidR="00D77DD7" w:rsidRPr="00D77DD7">
        <w:rPr>
          <w:rFonts w:ascii="Gotham Book" w:hAnsi="Gotham Book"/>
          <w:i/>
          <w:iCs/>
          <w:sz w:val="23"/>
          <w:szCs w:val="23"/>
        </w:rPr>
        <w:t xml:space="preserve">, E., </w:t>
      </w:r>
      <w:proofErr w:type="spellStart"/>
      <w:r w:rsidR="00D77DD7" w:rsidRPr="00D77DD7">
        <w:rPr>
          <w:rFonts w:ascii="Gotham Book" w:hAnsi="Gotham Book"/>
          <w:i/>
          <w:iCs/>
          <w:sz w:val="23"/>
          <w:szCs w:val="23"/>
        </w:rPr>
        <w:t>Saz</w:t>
      </w:r>
      <w:proofErr w:type="spellEnd"/>
      <w:r w:rsidR="00D77DD7" w:rsidRPr="00D77DD7">
        <w:rPr>
          <w:rFonts w:ascii="Gotham Book" w:hAnsi="Gotham Book"/>
          <w:i/>
          <w:iCs/>
          <w:sz w:val="23"/>
          <w:szCs w:val="23"/>
        </w:rPr>
        <w:t xml:space="preserve"> Parkinson, Z., Solo, K., et al. (2022) Good or best practice statements: proposal for the operationalisation and implementation of GRADE guidance. BMJ Evidence-Based Medicine, doi:10.1136/bmjebm-2022-111962.</w:t>
      </w:r>
    </w:p>
    <w:p w14:paraId="7336905F" w14:textId="77777777" w:rsidR="009F43F0" w:rsidRPr="005C05DC" w:rsidRDefault="009F43F0" w:rsidP="000D3F62">
      <w:pPr>
        <w:spacing w:after="0"/>
        <w:rPr>
          <w:rFonts w:ascii="Gotham Book" w:hAnsi="Gotham Book"/>
          <w:sz w:val="23"/>
          <w:szCs w:val="23"/>
        </w:rPr>
      </w:pPr>
    </w:p>
    <w:p w14:paraId="5BECE482" w14:textId="66DC5566" w:rsidR="00064959" w:rsidRPr="005C05DC" w:rsidRDefault="008168C7" w:rsidP="000D3F62">
      <w:pPr>
        <w:spacing w:after="0"/>
        <w:rPr>
          <w:rFonts w:ascii="Gotham Book" w:hAnsi="Gotham Book"/>
          <w:b/>
          <w:sz w:val="23"/>
          <w:szCs w:val="23"/>
        </w:rPr>
      </w:pPr>
      <w:r w:rsidRPr="005C05DC">
        <w:rPr>
          <w:rFonts w:ascii="Gotham Book" w:hAnsi="Gotham Book"/>
          <w:b/>
          <w:sz w:val="23"/>
          <w:szCs w:val="23"/>
        </w:rPr>
        <w:t xml:space="preserve">Table </w:t>
      </w:r>
      <w:r w:rsidR="00DC1C7D" w:rsidRPr="005C05DC">
        <w:rPr>
          <w:rFonts w:ascii="Gotham Book" w:hAnsi="Gotham Book"/>
          <w:b/>
          <w:bCs/>
          <w:sz w:val="23"/>
          <w:szCs w:val="23"/>
        </w:rPr>
        <w:t>4</w:t>
      </w:r>
      <w:r w:rsidRPr="005C05DC">
        <w:rPr>
          <w:rFonts w:ascii="Gotham Book" w:hAnsi="Gotham Book"/>
          <w:b/>
          <w:sz w:val="23"/>
          <w:szCs w:val="23"/>
        </w:rPr>
        <w:t>. Description of different types of good practice statements</w:t>
      </w:r>
      <w:r w:rsidR="00454B7C" w:rsidRPr="00454B7C">
        <w:rPr>
          <w:rFonts w:ascii="Gotham Book" w:hAnsi="Gotham Book"/>
          <w:vertAlign w:val="superscript"/>
        </w:rPr>
        <w:t>‡</w:t>
      </w:r>
      <w:r w:rsidR="007E58F6">
        <w:rPr>
          <w:rFonts w:ascii="Gotham Book" w:hAnsi="Gotham Book"/>
          <w:vertAlign w:val="superscript"/>
        </w:rPr>
        <w:t>39,40</w:t>
      </w:r>
    </w:p>
    <w:tbl>
      <w:tblPr>
        <w:tblStyle w:val="TableGrid"/>
        <w:tblW w:w="5000" w:type="pct"/>
        <w:tblLook w:val="04A0" w:firstRow="1" w:lastRow="0" w:firstColumn="1" w:lastColumn="0" w:noHBand="0" w:noVBand="1"/>
      </w:tblPr>
      <w:tblGrid>
        <w:gridCol w:w="1473"/>
        <w:gridCol w:w="3228"/>
        <w:gridCol w:w="4315"/>
      </w:tblGrid>
      <w:tr w:rsidR="0025412D" w:rsidRPr="00C66AFF" w14:paraId="6738D401" w14:textId="77777777" w:rsidTr="00222472">
        <w:trPr>
          <w:tblHeader/>
        </w:trPr>
        <w:tc>
          <w:tcPr>
            <w:tcW w:w="817" w:type="pct"/>
            <w:tcBorders>
              <w:bottom w:val="single" w:sz="4" w:space="0" w:color="auto"/>
            </w:tcBorders>
            <w:shd w:val="clear" w:color="auto" w:fill="DAEEF3" w:themeFill="accent5" w:themeFillTint="33"/>
          </w:tcPr>
          <w:p w14:paraId="7ED23FF9" w14:textId="77777777" w:rsidR="0025412D" w:rsidRPr="00646746" w:rsidRDefault="0025412D">
            <w:pPr>
              <w:spacing w:after="200"/>
              <w:rPr>
                <w:rFonts w:ascii="Gotham Book" w:eastAsia="Calibri" w:hAnsi="Gotham Book" w:cs="Arial"/>
                <w:b/>
              </w:rPr>
            </w:pPr>
            <w:r w:rsidRPr="00646746">
              <w:rPr>
                <w:rFonts w:ascii="Gotham Book" w:eastAsia="Calibri" w:hAnsi="Gotham Book" w:cs="Arial"/>
                <w:b/>
              </w:rPr>
              <w:t>Basis of statement</w:t>
            </w:r>
          </w:p>
        </w:tc>
        <w:tc>
          <w:tcPr>
            <w:tcW w:w="1790" w:type="pct"/>
            <w:tcBorders>
              <w:bottom w:val="single" w:sz="4" w:space="0" w:color="auto"/>
            </w:tcBorders>
            <w:shd w:val="clear" w:color="auto" w:fill="DAEEF3" w:themeFill="accent5" w:themeFillTint="33"/>
          </w:tcPr>
          <w:p w14:paraId="62ED4258" w14:textId="77777777" w:rsidR="0025412D" w:rsidRPr="00646746" w:rsidRDefault="0025412D">
            <w:pPr>
              <w:spacing w:after="200"/>
              <w:rPr>
                <w:rFonts w:ascii="Gotham Book" w:eastAsia="Calibri" w:hAnsi="Gotham Book" w:cs="Arial"/>
                <w:b/>
              </w:rPr>
            </w:pPr>
            <w:r w:rsidRPr="00646746">
              <w:rPr>
                <w:rFonts w:ascii="Gotham Book" w:eastAsia="Calibri" w:hAnsi="Gotham Book" w:cs="Arial"/>
                <w:b/>
              </w:rPr>
              <w:t>Description and requirements</w:t>
            </w:r>
          </w:p>
        </w:tc>
        <w:tc>
          <w:tcPr>
            <w:tcW w:w="2393" w:type="pct"/>
            <w:tcBorders>
              <w:bottom w:val="single" w:sz="4" w:space="0" w:color="auto"/>
            </w:tcBorders>
            <w:shd w:val="clear" w:color="auto" w:fill="DAEEF3" w:themeFill="accent5" w:themeFillTint="33"/>
          </w:tcPr>
          <w:p w14:paraId="431712CB" w14:textId="77777777" w:rsidR="0025412D" w:rsidRPr="00646746" w:rsidRDefault="0025412D">
            <w:pPr>
              <w:spacing w:after="200"/>
              <w:rPr>
                <w:rFonts w:ascii="Gotham Book" w:eastAsia="Calibri" w:hAnsi="Gotham Book" w:cs="Arial"/>
                <w:b/>
              </w:rPr>
            </w:pPr>
            <w:r w:rsidRPr="00646746">
              <w:rPr>
                <w:rFonts w:ascii="Gotham Book" w:eastAsia="Calibri" w:hAnsi="Gotham Book" w:cs="Arial"/>
                <w:b/>
              </w:rPr>
              <w:t>Example(s)</w:t>
            </w:r>
          </w:p>
        </w:tc>
      </w:tr>
      <w:tr w:rsidR="0025412D" w:rsidRPr="00C66AFF" w14:paraId="62553106" w14:textId="77777777" w:rsidTr="00222472">
        <w:tc>
          <w:tcPr>
            <w:tcW w:w="817" w:type="pct"/>
            <w:tcBorders>
              <w:bottom w:val="nil"/>
            </w:tcBorders>
          </w:tcPr>
          <w:p w14:paraId="0A2A178A" w14:textId="77777777" w:rsidR="0025412D" w:rsidRPr="00646746" w:rsidRDefault="0025412D">
            <w:pPr>
              <w:rPr>
                <w:rFonts w:ascii="Gotham Book" w:eastAsia="Calibri" w:hAnsi="Gotham Book" w:cs="Calibri"/>
              </w:rPr>
            </w:pPr>
            <w:r w:rsidRPr="00646746">
              <w:rPr>
                <w:rFonts w:ascii="Gotham Book" w:hAnsi="Gotham Book"/>
              </w:rPr>
              <w:t>Human rights or ethics principles</w:t>
            </w:r>
          </w:p>
        </w:tc>
        <w:tc>
          <w:tcPr>
            <w:tcW w:w="1790" w:type="pct"/>
            <w:tcBorders>
              <w:bottom w:val="nil"/>
            </w:tcBorders>
          </w:tcPr>
          <w:p w14:paraId="0BD5AF33" w14:textId="77777777" w:rsidR="0025412D" w:rsidRPr="00646746" w:rsidRDefault="0025412D">
            <w:pPr>
              <w:rPr>
                <w:rFonts w:ascii="Gotham Book" w:hAnsi="Gotham Book"/>
              </w:rPr>
            </w:pPr>
            <w:r w:rsidRPr="00646746">
              <w:rPr>
                <w:rFonts w:ascii="Gotham Book" w:hAnsi="Gotham Book"/>
              </w:rPr>
              <w:t>Underpinned by</w:t>
            </w:r>
          </w:p>
          <w:p w14:paraId="1FAEF57F" w14:textId="77777777" w:rsidR="0025412D" w:rsidRPr="00646746" w:rsidRDefault="0025412D" w:rsidP="00EF6504">
            <w:pPr>
              <w:pStyle w:val="ListParagraph"/>
              <w:numPr>
                <w:ilvl w:val="0"/>
                <w:numId w:val="31"/>
              </w:numPr>
              <w:rPr>
                <w:rFonts w:ascii="Gotham Book" w:hAnsi="Gotham Book"/>
              </w:rPr>
            </w:pPr>
            <w:r w:rsidRPr="00646746">
              <w:rPr>
                <w:rFonts w:ascii="Gotham Book" w:hAnsi="Gotham Book"/>
              </w:rPr>
              <w:t>human rights standards, conventions and principles (e.g. equality and non-discrimination),</w:t>
            </w:r>
          </w:p>
          <w:p w14:paraId="160CC4EF" w14:textId="77777777" w:rsidR="0025412D" w:rsidRPr="00646746" w:rsidRDefault="0025412D" w:rsidP="00EF6504">
            <w:pPr>
              <w:pStyle w:val="ListParagraph"/>
              <w:numPr>
                <w:ilvl w:val="0"/>
                <w:numId w:val="31"/>
              </w:numPr>
              <w:rPr>
                <w:rFonts w:ascii="Gotham Book" w:hAnsi="Gotham Book"/>
              </w:rPr>
            </w:pPr>
            <w:r w:rsidRPr="00646746">
              <w:rPr>
                <w:rFonts w:ascii="Gotham Book" w:hAnsi="Gotham Book"/>
              </w:rPr>
              <w:t>ethic principles (beneficence, non-maleficence, autonomy, justice), or</w:t>
            </w:r>
          </w:p>
          <w:p w14:paraId="02EBB65B" w14:textId="77777777" w:rsidR="0025412D" w:rsidRPr="00646746" w:rsidRDefault="0025412D" w:rsidP="00EF6504">
            <w:pPr>
              <w:pStyle w:val="ListParagraph"/>
              <w:numPr>
                <w:ilvl w:val="0"/>
                <w:numId w:val="31"/>
              </w:numPr>
              <w:rPr>
                <w:rFonts w:ascii="Gotham Book" w:hAnsi="Gotham Book"/>
              </w:rPr>
            </w:pPr>
            <w:r w:rsidRPr="00646746">
              <w:rPr>
                <w:rFonts w:ascii="Gotham Book" w:hAnsi="Gotham Book"/>
              </w:rPr>
              <w:t>public health principles (obligation to maximise health of population)</w:t>
            </w:r>
          </w:p>
          <w:p w14:paraId="27BF7702" w14:textId="77777777" w:rsidR="0025412D" w:rsidRPr="00646746" w:rsidRDefault="0025412D">
            <w:pPr>
              <w:rPr>
                <w:rFonts w:ascii="Gotham Book" w:hAnsi="Gotham Book"/>
              </w:rPr>
            </w:pPr>
          </w:p>
          <w:p w14:paraId="7745592C" w14:textId="77777777" w:rsidR="0025412D" w:rsidRPr="00646746" w:rsidRDefault="0025412D">
            <w:pPr>
              <w:rPr>
                <w:rFonts w:ascii="Gotham Book" w:hAnsi="Gotham Book"/>
              </w:rPr>
            </w:pPr>
            <w:r w:rsidRPr="00646746">
              <w:rPr>
                <w:rFonts w:ascii="Gotham Book" w:hAnsi="Gotham Book"/>
              </w:rPr>
              <w:t>Requires rationale; does not require evidence</w:t>
            </w:r>
          </w:p>
        </w:tc>
        <w:tc>
          <w:tcPr>
            <w:tcW w:w="2393" w:type="pct"/>
            <w:tcBorders>
              <w:bottom w:val="nil"/>
            </w:tcBorders>
          </w:tcPr>
          <w:p w14:paraId="3A7AEED6" w14:textId="7BE8A214" w:rsidR="0025412D" w:rsidRPr="00646746" w:rsidRDefault="0025412D">
            <w:pPr>
              <w:spacing w:after="200"/>
              <w:rPr>
                <w:rFonts w:ascii="Gotham Book" w:eastAsia="Calibri" w:hAnsi="Gotham Book" w:cs="Arial"/>
              </w:rPr>
            </w:pPr>
            <w:hyperlink r:id="rId35" w:anchor="/guideline/jMMeqj/section/jz43dn" w:history="1">
              <w:r w:rsidRPr="00646746">
                <w:rPr>
                  <w:rStyle w:val="Hyperlink"/>
                  <w:rFonts w:ascii="Gotham Book" w:eastAsia="Calibri" w:hAnsi="Gotham Book" w:cs="Arial"/>
                </w:rPr>
                <w:t>Clinical Practice Guidelines for the Appropriate Use of Psychotropic Medications in People Living with Dementia and in Residential Aged Care</w:t>
              </w:r>
            </w:hyperlink>
          </w:p>
          <w:p w14:paraId="19295957" w14:textId="77777777" w:rsidR="0025412D" w:rsidRPr="00646746" w:rsidRDefault="0025412D">
            <w:pPr>
              <w:spacing w:after="200"/>
              <w:rPr>
                <w:rFonts w:ascii="Gotham Book" w:eastAsia="Calibri" w:hAnsi="Gotham Book" w:cs="Arial"/>
              </w:rPr>
            </w:pPr>
            <w:r w:rsidRPr="00646746">
              <w:rPr>
                <w:rFonts w:ascii="Gotham Book" w:eastAsia="Calibri" w:hAnsi="Gotham Book" w:cs="Arial"/>
              </w:rPr>
              <w:t>People living with dementia have the right to voice their opinions and make complaints. The process for making complaints about prescribing, administration, dispensing or monitoring of psychotropic medications should be explained to the person living with dementia, their carer(s) and/or substitute decision-makers.</w:t>
            </w:r>
          </w:p>
        </w:tc>
      </w:tr>
      <w:tr w:rsidR="0025412D" w:rsidRPr="00C66AFF" w14:paraId="2831E2BD" w14:textId="77777777" w:rsidTr="00222472">
        <w:tc>
          <w:tcPr>
            <w:tcW w:w="817" w:type="pct"/>
            <w:tcBorders>
              <w:top w:val="nil"/>
              <w:bottom w:val="nil"/>
            </w:tcBorders>
          </w:tcPr>
          <w:p w14:paraId="7946ABE3" w14:textId="77777777" w:rsidR="0025412D" w:rsidRPr="00646746" w:rsidRDefault="0025412D">
            <w:pPr>
              <w:rPr>
                <w:rFonts w:ascii="Gotham Book" w:eastAsia="Calibri" w:hAnsi="Gotham Book" w:cs="Calibri"/>
              </w:rPr>
            </w:pPr>
          </w:p>
        </w:tc>
        <w:tc>
          <w:tcPr>
            <w:tcW w:w="1790" w:type="pct"/>
            <w:tcBorders>
              <w:top w:val="nil"/>
              <w:bottom w:val="nil"/>
            </w:tcBorders>
          </w:tcPr>
          <w:p w14:paraId="273D1535" w14:textId="77777777" w:rsidR="0025412D" w:rsidRPr="00646746" w:rsidRDefault="0025412D">
            <w:pPr>
              <w:spacing w:after="200"/>
              <w:rPr>
                <w:rFonts w:ascii="Gotham Book" w:eastAsia="Calibri" w:hAnsi="Gotham Book" w:cs="Arial"/>
              </w:rPr>
            </w:pPr>
          </w:p>
        </w:tc>
        <w:tc>
          <w:tcPr>
            <w:tcW w:w="2393" w:type="pct"/>
            <w:tcBorders>
              <w:top w:val="nil"/>
            </w:tcBorders>
          </w:tcPr>
          <w:p w14:paraId="6D6361E6" w14:textId="63132DAE" w:rsidR="0025412D" w:rsidRPr="00646746" w:rsidRDefault="0025412D">
            <w:pPr>
              <w:spacing w:after="200"/>
              <w:rPr>
                <w:rFonts w:ascii="Gotham Book" w:eastAsia="Calibri" w:hAnsi="Gotham Book" w:cs="Arial"/>
              </w:rPr>
            </w:pPr>
            <w:hyperlink r:id="rId36" w:anchor="/guideline/j98OoE/section/L6m7Gy" w:history="1">
              <w:r w:rsidRPr="00646746">
                <w:rPr>
                  <w:rStyle w:val="Hyperlink"/>
                  <w:rFonts w:ascii="Gotham Book" w:eastAsia="Calibri" w:hAnsi="Gotham Book" w:cs="Arial"/>
                </w:rPr>
                <w:t>Recommendations for culturally safe and clinical kidney care for First Nations Australians</w:t>
              </w:r>
            </w:hyperlink>
          </w:p>
          <w:p w14:paraId="18AFB7FB" w14:textId="77777777" w:rsidR="0025412D" w:rsidRPr="00646746" w:rsidRDefault="0025412D">
            <w:pPr>
              <w:spacing w:after="200"/>
              <w:rPr>
                <w:rFonts w:ascii="Gotham Book" w:eastAsia="Calibri" w:hAnsi="Gotham Book" w:cs="Arial"/>
              </w:rPr>
            </w:pPr>
            <w:r w:rsidRPr="00646746">
              <w:rPr>
                <w:rFonts w:ascii="Gotham Book" w:eastAsia="Calibri" w:hAnsi="Gotham Book" w:cs="Arial"/>
              </w:rPr>
              <w:t xml:space="preserve">Health services are responsible for mandating and delivering effective, targeted, and sustainable cultural safety training that actively </w:t>
            </w:r>
            <w:r w:rsidRPr="00646746">
              <w:rPr>
                <w:rFonts w:ascii="Gotham Book" w:eastAsia="Calibri" w:hAnsi="Gotham Book" w:cs="Arial"/>
              </w:rPr>
              <w:lastRenderedPageBreak/>
              <w:t>addresses unconscious bias, interpersonal and systemic racism, delivered in a non-threatening and supportive workplace.</w:t>
            </w:r>
          </w:p>
        </w:tc>
      </w:tr>
      <w:tr w:rsidR="0025412D" w:rsidRPr="00C66AFF" w14:paraId="4DB7EB71" w14:textId="77777777" w:rsidTr="00222472">
        <w:tc>
          <w:tcPr>
            <w:tcW w:w="817" w:type="pct"/>
            <w:tcBorders>
              <w:top w:val="nil"/>
              <w:bottom w:val="single" w:sz="4" w:space="0" w:color="auto"/>
            </w:tcBorders>
          </w:tcPr>
          <w:p w14:paraId="1CD43C3D" w14:textId="77777777" w:rsidR="0025412D" w:rsidRPr="00646746" w:rsidRDefault="0025412D">
            <w:pPr>
              <w:rPr>
                <w:rFonts w:ascii="Gotham Book" w:eastAsia="Calibri" w:hAnsi="Gotham Book" w:cs="Calibri"/>
              </w:rPr>
            </w:pPr>
            <w:r w:rsidRPr="00646746">
              <w:rPr>
                <w:rFonts w:ascii="Gotham Book" w:eastAsia="Calibri" w:hAnsi="Gotham Book" w:cs="Arial"/>
              </w:rPr>
              <w:lastRenderedPageBreak/>
              <w:t>Practice principles, norms and standards</w:t>
            </w:r>
          </w:p>
        </w:tc>
        <w:tc>
          <w:tcPr>
            <w:tcW w:w="1790" w:type="pct"/>
            <w:tcBorders>
              <w:top w:val="nil"/>
              <w:bottom w:val="single" w:sz="4" w:space="0" w:color="auto"/>
            </w:tcBorders>
          </w:tcPr>
          <w:p w14:paraId="15179FE4" w14:textId="77777777" w:rsidR="0025412D" w:rsidRPr="00646746" w:rsidRDefault="0025412D">
            <w:pPr>
              <w:spacing w:after="200"/>
              <w:rPr>
                <w:rFonts w:ascii="Gotham Book" w:eastAsia="Calibri" w:hAnsi="Gotham Book" w:cs="Arial"/>
              </w:rPr>
            </w:pPr>
            <w:r w:rsidRPr="00646746">
              <w:rPr>
                <w:rFonts w:ascii="Gotham Book" w:eastAsia="Calibri" w:hAnsi="Gotham Book" w:cs="Arial"/>
              </w:rPr>
              <w:t>Based on professional responsibilities, ideals or standards including</w:t>
            </w:r>
          </w:p>
          <w:p w14:paraId="465DBC5A" w14:textId="77777777" w:rsidR="0025412D" w:rsidRPr="00646746" w:rsidRDefault="0025412D" w:rsidP="00EF6504">
            <w:pPr>
              <w:pStyle w:val="ListParagraph"/>
              <w:numPr>
                <w:ilvl w:val="0"/>
                <w:numId w:val="32"/>
              </w:numPr>
              <w:spacing w:after="200"/>
              <w:rPr>
                <w:rFonts w:ascii="Gotham Book" w:eastAsia="Calibri" w:hAnsi="Gotham Book" w:cs="Arial"/>
              </w:rPr>
            </w:pPr>
            <w:r w:rsidRPr="00646746">
              <w:rPr>
                <w:rFonts w:ascii="Gotham Book" w:eastAsia="Calibri" w:hAnsi="Gotham Book" w:cs="Arial"/>
              </w:rPr>
              <w:t>professional codes of practice or conduct (i.e. formal norms)</w:t>
            </w:r>
          </w:p>
          <w:p w14:paraId="150FB053" w14:textId="0DBCF345" w:rsidR="0025412D" w:rsidRPr="00646746" w:rsidRDefault="0025412D" w:rsidP="00EF6504">
            <w:pPr>
              <w:pStyle w:val="ListParagraph"/>
              <w:numPr>
                <w:ilvl w:val="0"/>
                <w:numId w:val="32"/>
              </w:numPr>
              <w:spacing w:after="200"/>
              <w:rPr>
                <w:rFonts w:ascii="Gotham Book" w:eastAsia="Calibri" w:hAnsi="Gotham Book" w:cs="Arial"/>
              </w:rPr>
            </w:pPr>
            <w:r w:rsidRPr="00646746">
              <w:rPr>
                <w:rFonts w:ascii="Gotham Book" w:eastAsia="Calibri" w:hAnsi="Gotham Book" w:cs="Arial"/>
              </w:rPr>
              <w:t>accepted practice</w:t>
            </w:r>
            <w:r w:rsidR="002C6E01">
              <w:rPr>
                <w:rFonts w:ascii="Gotham Book" w:eastAsia="Calibri" w:hAnsi="Gotham Book" w:cs="Arial"/>
              </w:rPr>
              <w:t xml:space="preserve"> in</w:t>
            </w:r>
            <w:r w:rsidR="00D52D35">
              <w:rPr>
                <w:rFonts w:ascii="Gotham Book" w:eastAsia="Calibri" w:hAnsi="Gotham Book" w:cs="Arial"/>
              </w:rPr>
              <w:t xml:space="preserve"> a</w:t>
            </w:r>
            <w:r w:rsidRPr="00646746">
              <w:rPr>
                <w:rFonts w:ascii="Gotham Book" w:eastAsia="Calibri" w:hAnsi="Gotham Book" w:cs="Arial"/>
              </w:rPr>
              <w:t xml:space="preserve"> health system or </w:t>
            </w:r>
            <w:r w:rsidR="00D52D35">
              <w:rPr>
                <w:rFonts w:ascii="Gotham Book" w:eastAsia="Calibri" w:hAnsi="Gotham Book" w:cs="Arial"/>
              </w:rPr>
              <w:t xml:space="preserve">in </w:t>
            </w:r>
            <w:r w:rsidRPr="00646746">
              <w:rPr>
                <w:rFonts w:ascii="Gotham Book" w:eastAsia="Calibri" w:hAnsi="Gotham Book" w:cs="Arial"/>
              </w:rPr>
              <w:t xml:space="preserve">public health </w:t>
            </w:r>
            <w:r w:rsidR="00D52D35">
              <w:rPr>
                <w:rFonts w:ascii="Gotham Book" w:eastAsia="Calibri" w:hAnsi="Gotham Book" w:cs="Arial"/>
              </w:rPr>
              <w:t>(i.e. informal norms)</w:t>
            </w:r>
          </w:p>
          <w:p w14:paraId="15EC1BA6" w14:textId="77777777" w:rsidR="0025412D" w:rsidRPr="00646746" w:rsidRDefault="0025412D">
            <w:pPr>
              <w:spacing w:after="200"/>
              <w:rPr>
                <w:rFonts w:ascii="Gotham Book" w:eastAsia="Calibri" w:hAnsi="Gotham Book" w:cs="Arial"/>
              </w:rPr>
            </w:pPr>
            <w:r w:rsidRPr="00646746">
              <w:rPr>
                <w:rFonts w:ascii="Gotham Book" w:eastAsia="Calibri" w:hAnsi="Gotham Book" w:cs="Arial"/>
              </w:rPr>
              <w:t xml:space="preserve">Must be high certainty of [large] desirable net consequences (based on </w:t>
            </w:r>
            <w:proofErr w:type="spellStart"/>
            <w:r w:rsidRPr="00646746">
              <w:rPr>
                <w:rFonts w:ascii="Gotham Book" w:eastAsia="Calibri" w:hAnsi="Gotham Book" w:cs="Arial"/>
              </w:rPr>
              <w:t>EtD</w:t>
            </w:r>
            <w:proofErr w:type="spellEnd"/>
            <w:r w:rsidRPr="00646746">
              <w:rPr>
                <w:rFonts w:ascii="Gotham Book" w:eastAsia="Calibri" w:hAnsi="Gotham Book" w:cs="Arial"/>
              </w:rPr>
              <w:t xml:space="preserve"> criteria). Requires explicit rationale connecting to indirect evidence</w:t>
            </w:r>
          </w:p>
        </w:tc>
        <w:tc>
          <w:tcPr>
            <w:tcW w:w="2393" w:type="pct"/>
            <w:tcBorders>
              <w:top w:val="nil"/>
              <w:bottom w:val="single" w:sz="4" w:space="0" w:color="auto"/>
            </w:tcBorders>
          </w:tcPr>
          <w:p w14:paraId="1DED6B53" w14:textId="65E55A95" w:rsidR="0025412D" w:rsidRPr="00646746" w:rsidRDefault="0025412D">
            <w:pPr>
              <w:spacing w:after="200"/>
              <w:rPr>
                <w:rFonts w:ascii="Gotham Book" w:eastAsia="Calibri" w:hAnsi="Gotham Book" w:cs="Arial"/>
              </w:rPr>
            </w:pPr>
            <w:hyperlink r:id="rId37" w:anchor="/guideline/L4Q5An/section/jOp8dr" w:history="1">
              <w:r w:rsidRPr="00646746">
                <w:rPr>
                  <w:rStyle w:val="Hyperlink"/>
                  <w:rFonts w:ascii="Gotham Book" w:eastAsia="Calibri" w:hAnsi="Gotham Book" w:cs="Arial"/>
                </w:rPr>
                <w:t>Australian guidelines for the clinical care of people with COVID-19</w:t>
              </w:r>
            </w:hyperlink>
          </w:p>
          <w:p w14:paraId="383B1596" w14:textId="77777777" w:rsidR="0025412D" w:rsidRPr="00646746" w:rsidRDefault="0025412D">
            <w:pPr>
              <w:spacing w:after="200"/>
              <w:rPr>
                <w:rFonts w:ascii="Gotham Book" w:eastAsia="Calibri" w:hAnsi="Gotham Book" w:cs="Arial"/>
              </w:rPr>
            </w:pPr>
            <w:r w:rsidRPr="00646746">
              <w:rPr>
                <w:rFonts w:ascii="Gotham Book" w:eastAsia="Calibri" w:hAnsi="Gotham Book" w:cs="Arial"/>
              </w:rPr>
              <w:t>Healthcare workers should provide care that is within their expertise, knowledge and capabilities, and is the optimal care option for the patient. Seek specialist advice or multidisciplinary care arrangements where these would benefit the patient. Use of virtual care, including telehealth, should be considered where appropriate.</w:t>
            </w:r>
          </w:p>
        </w:tc>
      </w:tr>
      <w:tr w:rsidR="0025412D" w:rsidRPr="00C66AFF" w14:paraId="509B3AD5" w14:textId="77777777" w:rsidTr="00222472">
        <w:tc>
          <w:tcPr>
            <w:tcW w:w="817" w:type="pct"/>
            <w:tcBorders>
              <w:top w:val="single" w:sz="4" w:space="0" w:color="auto"/>
              <w:bottom w:val="single" w:sz="4" w:space="0" w:color="auto"/>
            </w:tcBorders>
          </w:tcPr>
          <w:p w14:paraId="23D020A0" w14:textId="77777777" w:rsidR="0025412D" w:rsidRPr="00646746" w:rsidRDefault="0025412D">
            <w:pPr>
              <w:rPr>
                <w:rFonts w:ascii="Gotham Book" w:eastAsia="Calibri" w:hAnsi="Gotham Book" w:cs="Calibri"/>
              </w:rPr>
            </w:pPr>
            <w:r w:rsidRPr="00646746">
              <w:rPr>
                <w:rFonts w:ascii="Gotham Book" w:eastAsia="Calibri" w:hAnsi="Gotham Book" w:cs="Calibri"/>
              </w:rPr>
              <w:t>Established scientific evidence</w:t>
            </w:r>
          </w:p>
        </w:tc>
        <w:tc>
          <w:tcPr>
            <w:tcW w:w="1790" w:type="pct"/>
            <w:tcBorders>
              <w:top w:val="single" w:sz="4" w:space="0" w:color="auto"/>
              <w:bottom w:val="single" w:sz="4" w:space="0" w:color="auto"/>
            </w:tcBorders>
          </w:tcPr>
          <w:p w14:paraId="10251380" w14:textId="5188DF63" w:rsidR="0025412D" w:rsidRPr="00646746" w:rsidRDefault="0025412D">
            <w:pPr>
              <w:spacing w:after="200"/>
              <w:rPr>
                <w:rFonts w:ascii="Gotham Book" w:eastAsia="Calibri" w:hAnsi="Gotham Book" w:cs="Arial"/>
              </w:rPr>
            </w:pPr>
            <w:r w:rsidRPr="00646746">
              <w:rPr>
                <w:rFonts w:ascii="Gotham Book" w:eastAsia="Calibri" w:hAnsi="Gotham Book" w:cs="Arial"/>
              </w:rPr>
              <w:t xml:space="preserve">Based on scientific fundamentals </w:t>
            </w:r>
            <w:r w:rsidR="002C6E01">
              <w:rPr>
                <w:rFonts w:ascii="Gotham Book" w:eastAsia="Calibri" w:hAnsi="Gotham Book" w:cs="Arial"/>
              </w:rPr>
              <w:t xml:space="preserve">(e.g. </w:t>
            </w:r>
            <w:r w:rsidRPr="00646746">
              <w:rPr>
                <w:rFonts w:ascii="Gotham Book" w:eastAsia="Calibri" w:hAnsi="Gotham Book" w:cs="Arial"/>
              </w:rPr>
              <w:t>from mechanistic,</w:t>
            </w:r>
            <w:r w:rsidR="002C6E01">
              <w:rPr>
                <w:rFonts w:ascii="Gotham Book" w:eastAsia="Calibri" w:hAnsi="Gotham Book" w:cs="Arial"/>
              </w:rPr>
              <w:t xml:space="preserve"> or</w:t>
            </w:r>
            <w:r w:rsidRPr="00646746">
              <w:rPr>
                <w:rFonts w:ascii="Gotham Book" w:eastAsia="Calibri" w:hAnsi="Gotham Book" w:cs="Arial"/>
              </w:rPr>
              <w:t xml:space="preserve"> laboratory based evidence</w:t>
            </w:r>
            <w:r w:rsidR="002C6E01">
              <w:rPr>
                <w:rFonts w:ascii="Gotham Book" w:eastAsia="Calibri" w:hAnsi="Gotham Book" w:cs="Arial"/>
              </w:rPr>
              <w:t>)</w:t>
            </w:r>
          </w:p>
          <w:p w14:paraId="7969BF62" w14:textId="77777777" w:rsidR="0025412D" w:rsidRPr="00646746" w:rsidRDefault="0025412D">
            <w:pPr>
              <w:spacing w:after="200"/>
              <w:rPr>
                <w:rFonts w:ascii="Gotham Book" w:eastAsia="Calibri" w:hAnsi="Gotham Book" w:cs="Arial"/>
              </w:rPr>
            </w:pPr>
            <w:r w:rsidRPr="00646746">
              <w:rPr>
                <w:rFonts w:ascii="Gotham Book" w:eastAsia="Calibri" w:hAnsi="Gotham Book" w:cs="Arial"/>
              </w:rPr>
              <w:t xml:space="preserve">Must be high certainty of large desirable net consequences (based on </w:t>
            </w:r>
            <w:proofErr w:type="spellStart"/>
            <w:r w:rsidRPr="00646746">
              <w:rPr>
                <w:rFonts w:ascii="Gotham Book" w:eastAsia="Calibri" w:hAnsi="Gotham Book" w:cs="Arial"/>
              </w:rPr>
              <w:t>EtD</w:t>
            </w:r>
            <w:proofErr w:type="spellEnd"/>
            <w:r w:rsidRPr="00646746">
              <w:rPr>
                <w:rFonts w:ascii="Gotham Book" w:eastAsia="Calibri" w:hAnsi="Gotham Book" w:cs="Arial"/>
              </w:rPr>
              <w:t xml:space="preserve"> criteria). Requires explicit rationale connecting to indirect evidence</w:t>
            </w:r>
          </w:p>
        </w:tc>
        <w:tc>
          <w:tcPr>
            <w:tcW w:w="2393" w:type="pct"/>
            <w:tcBorders>
              <w:top w:val="single" w:sz="4" w:space="0" w:color="auto"/>
              <w:bottom w:val="single" w:sz="4" w:space="0" w:color="auto"/>
            </w:tcBorders>
          </w:tcPr>
          <w:p w14:paraId="68E0180C" w14:textId="11DFF439" w:rsidR="0025412D" w:rsidRPr="00646746" w:rsidRDefault="0025412D">
            <w:pPr>
              <w:spacing w:after="200"/>
              <w:rPr>
                <w:rFonts w:ascii="Gotham Book" w:eastAsia="Calibri" w:hAnsi="Gotham Book" w:cs="Arial"/>
              </w:rPr>
            </w:pPr>
            <w:hyperlink r:id="rId38" w:anchor="/guideline/Jn37kn/section/n3kXon" w:history="1">
              <w:r w:rsidRPr="00646746">
                <w:rPr>
                  <w:rStyle w:val="Hyperlink"/>
                  <w:rFonts w:ascii="Gotham Book" w:eastAsia="Calibri" w:hAnsi="Gotham Book" w:cs="Arial"/>
                </w:rPr>
                <w:t>Australian Guidelines for the Prevention and Control of Infection in Healthcare (2019)</w:t>
              </w:r>
            </w:hyperlink>
          </w:p>
          <w:p w14:paraId="78077187" w14:textId="77777777" w:rsidR="0025412D" w:rsidRPr="00646746" w:rsidRDefault="0025412D">
            <w:pPr>
              <w:spacing w:after="200"/>
              <w:rPr>
                <w:rFonts w:ascii="Gotham Book" w:eastAsia="Calibri" w:hAnsi="Gotham Book" w:cs="Arial"/>
              </w:rPr>
            </w:pPr>
            <w:r w:rsidRPr="00646746">
              <w:rPr>
                <w:rFonts w:ascii="Gotham Book" w:eastAsia="Calibri" w:hAnsi="Gotham Book" w:cs="Arial"/>
              </w:rPr>
              <w:t>It is good practice for healthcare workers and visitors to adhere to norovirus exclusion periods. Healthcare workers should not be at work from symptom onset until 48 hours after symptom resolution. On returning to the healthcare facility, healthcare workers should adhere to appropriate hand hygiene practices.</w:t>
            </w:r>
          </w:p>
        </w:tc>
      </w:tr>
    </w:tbl>
    <w:p w14:paraId="15B34E43" w14:textId="05619EF2" w:rsidR="00222472" w:rsidRPr="00380739" w:rsidRDefault="00454B7C" w:rsidP="00222472">
      <w:pPr>
        <w:rPr>
          <w:rFonts w:ascii="Gotham Book" w:hAnsi="Gotham Book"/>
        </w:rPr>
      </w:pPr>
      <w:r w:rsidRPr="00454B7C">
        <w:rPr>
          <w:rFonts w:ascii="Gotham Book" w:hAnsi="Gotham Book"/>
          <w:vertAlign w:val="superscript"/>
        </w:rPr>
        <w:t>‡</w:t>
      </w:r>
      <w:r w:rsidR="00222472" w:rsidRPr="00380739">
        <w:rPr>
          <w:rFonts w:ascii="Gotham Book" w:hAnsi="Gotham Book"/>
        </w:rPr>
        <w:t xml:space="preserve">Taxonomy based on </w:t>
      </w:r>
      <w:r w:rsidR="00C569FA" w:rsidRPr="00C569FA">
        <w:rPr>
          <w:rFonts w:ascii="Gotham Book" w:hAnsi="Gotham Book"/>
          <w:i/>
          <w:iCs/>
        </w:rPr>
        <w:t xml:space="preserve">Norris, SL. (2024) GRADE Good Practice Statements - A time to say Good-bye? A new typology for normative statements on interventions. J Clin Epidemiol, 171:111371. </w:t>
      </w:r>
      <w:proofErr w:type="spellStart"/>
      <w:r w:rsidR="00C569FA" w:rsidRPr="00C569FA">
        <w:rPr>
          <w:rFonts w:ascii="Gotham Book" w:hAnsi="Gotham Book"/>
          <w:i/>
          <w:iCs/>
        </w:rPr>
        <w:t>doi</w:t>
      </w:r>
      <w:proofErr w:type="spellEnd"/>
      <w:r w:rsidR="00C569FA" w:rsidRPr="00C569FA">
        <w:rPr>
          <w:rFonts w:ascii="Gotham Book" w:hAnsi="Gotham Book"/>
          <w:i/>
          <w:iCs/>
        </w:rPr>
        <w:t>: 10.1016/j.jclinepi.2024.111371</w:t>
      </w:r>
      <w:r w:rsidR="00C569FA" w:rsidRPr="00C569FA">
        <w:rPr>
          <w:rFonts w:ascii="Gotham Book" w:hAnsi="Gotham Book"/>
        </w:rPr>
        <w:t>, and </w:t>
      </w:r>
      <w:proofErr w:type="spellStart"/>
      <w:r w:rsidR="00C569FA" w:rsidRPr="00C569FA">
        <w:rPr>
          <w:rFonts w:ascii="Gotham Book" w:hAnsi="Gotham Book"/>
          <w:i/>
          <w:iCs/>
        </w:rPr>
        <w:t>Dewidar</w:t>
      </w:r>
      <w:proofErr w:type="spellEnd"/>
      <w:r w:rsidR="00C569FA" w:rsidRPr="00C569FA">
        <w:rPr>
          <w:rFonts w:ascii="Gotham Book" w:hAnsi="Gotham Book"/>
          <w:i/>
          <w:iCs/>
        </w:rPr>
        <w:t xml:space="preserve">, O., Lotfi, T., </w:t>
      </w:r>
      <w:proofErr w:type="spellStart"/>
      <w:r w:rsidR="00C569FA" w:rsidRPr="00C569FA">
        <w:rPr>
          <w:rFonts w:ascii="Gotham Book" w:hAnsi="Gotham Book"/>
          <w:i/>
          <w:iCs/>
        </w:rPr>
        <w:t>Langendam</w:t>
      </w:r>
      <w:proofErr w:type="spellEnd"/>
      <w:r w:rsidR="00C569FA" w:rsidRPr="00C569FA">
        <w:rPr>
          <w:rFonts w:ascii="Gotham Book" w:hAnsi="Gotham Book"/>
          <w:i/>
          <w:iCs/>
        </w:rPr>
        <w:t xml:space="preserve">, MW., </w:t>
      </w:r>
      <w:proofErr w:type="spellStart"/>
      <w:r w:rsidR="00C569FA" w:rsidRPr="00C569FA">
        <w:rPr>
          <w:rFonts w:ascii="Gotham Book" w:hAnsi="Gotham Book"/>
          <w:i/>
          <w:iCs/>
        </w:rPr>
        <w:t>Parmelli</w:t>
      </w:r>
      <w:proofErr w:type="spellEnd"/>
      <w:r w:rsidR="00C569FA" w:rsidRPr="00C569FA">
        <w:rPr>
          <w:rFonts w:ascii="Gotham Book" w:hAnsi="Gotham Book"/>
          <w:i/>
          <w:iCs/>
        </w:rPr>
        <w:t xml:space="preserve">, E., </w:t>
      </w:r>
      <w:proofErr w:type="spellStart"/>
      <w:r w:rsidR="00C569FA" w:rsidRPr="00C569FA">
        <w:rPr>
          <w:rFonts w:ascii="Gotham Book" w:hAnsi="Gotham Book"/>
          <w:i/>
          <w:iCs/>
        </w:rPr>
        <w:t>Saz</w:t>
      </w:r>
      <w:proofErr w:type="spellEnd"/>
      <w:r w:rsidR="00C569FA" w:rsidRPr="00C569FA">
        <w:rPr>
          <w:rFonts w:ascii="Gotham Book" w:hAnsi="Gotham Book"/>
          <w:i/>
          <w:iCs/>
        </w:rPr>
        <w:t xml:space="preserve"> Parkinson, Z., Solo, K., et al. (2022) Good or best practice statements: proposal for the operationalisation and implementation </w:t>
      </w:r>
      <w:r w:rsidR="00C569FA" w:rsidRPr="00C569FA">
        <w:rPr>
          <w:rFonts w:ascii="Gotham Book" w:hAnsi="Gotham Book"/>
          <w:i/>
          <w:iCs/>
        </w:rPr>
        <w:lastRenderedPageBreak/>
        <w:t>of GRADE guidance. BMJ Evidence-Based Medicine, doi:10.1136/bmjebm-2022-111962.</w:t>
      </w:r>
    </w:p>
    <w:p w14:paraId="164040ED" w14:textId="3590B749" w:rsidR="00EC00E6" w:rsidRPr="005C05DC" w:rsidRDefault="004810DC" w:rsidP="005C05DC">
      <w:pPr>
        <w:pStyle w:val="Heading2"/>
      </w:pPr>
      <w:bookmarkStart w:id="16" w:name="_Toc184284429"/>
      <w:r w:rsidRPr="005C05DC">
        <w:t xml:space="preserve">Finalise, review and publish the </w:t>
      </w:r>
      <w:proofErr w:type="spellStart"/>
      <w:r w:rsidRPr="005C05DC">
        <w:t>EtD</w:t>
      </w:r>
      <w:proofErr w:type="spellEnd"/>
      <w:r w:rsidRPr="005C05DC">
        <w:t xml:space="preserve"> content and recommendations(s)</w:t>
      </w:r>
      <w:bookmarkEnd w:id="16"/>
    </w:p>
    <w:p w14:paraId="3BF79461" w14:textId="499A37DD" w:rsidR="00EC00E6" w:rsidRPr="00646746" w:rsidRDefault="00485594" w:rsidP="000D3F62">
      <w:pPr>
        <w:spacing w:after="0"/>
        <w:rPr>
          <w:rFonts w:ascii="Gotham Book" w:hAnsi="Gotham Book" w:cs="Calibri"/>
          <w:color w:val="000000"/>
        </w:rPr>
      </w:pPr>
      <w:r w:rsidRPr="00646746">
        <w:rPr>
          <w:rFonts w:ascii="Gotham Book" w:hAnsi="Gotham Book" w:cs="Calibri"/>
          <w:color w:val="000000"/>
        </w:rPr>
        <w:t xml:space="preserve">The final version of the </w:t>
      </w:r>
      <w:proofErr w:type="spellStart"/>
      <w:r w:rsidRPr="00646746">
        <w:rPr>
          <w:rFonts w:ascii="Gotham Book" w:hAnsi="Gotham Book" w:cs="Calibri"/>
          <w:color w:val="000000"/>
        </w:rPr>
        <w:t>EtD</w:t>
      </w:r>
      <w:proofErr w:type="spellEnd"/>
      <w:r w:rsidRPr="00646746">
        <w:rPr>
          <w:rFonts w:ascii="Gotham Book" w:hAnsi="Gotham Book" w:cs="Calibri"/>
          <w:color w:val="000000"/>
        </w:rPr>
        <w:t xml:space="preserve"> should provide a complete and transparent account of the GDG decisions and the basis for those decisions. In addition to meeting NHMRC requirements, the GDG should ensure that requirements for reporting recommendations in their guidelines are met</w:t>
      </w:r>
      <w:r w:rsidR="0081565D" w:rsidRPr="0081565D">
        <w:rPr>
          <w:rFonts w:ascii="Gotham Book" w:hAnsi="Gotham Book" w:cs="Calibri"/>
          <w:color w:val="000000"/>
          <w:vertAlign w:val="superscript"/>
        </w:rPr>
        <w:t>41</w:t>
      </w:r>
      <w:r w:rsidR="0081565D">
        <w:rPr>
          <w:rFonts w:ascii="Gotham Book" w:hAnsi="Gotham Book" w:cs="Calibri"/>
          <w:color w:val="000000"/>
        </w:rPr>
        <w:t>.</w:t>
      </w:r>
    </w:p>
    <w:p w14:paraId="59166AF1" w14:textId="77777777" w:rsidR="00485594" w:rsidRPr="00646746" w:rsidRDefault="00485594" w:rsidP="00485594">
      <w:pPr>
        <w:spacing w:after="0"/>
        <w:rPr>
          <w:rFonts w:ascii="Gotham Book" w:eastAsiaTheme="majorEastAsia" w:hAnsi="Gotham Book" w:cstheme="majorBidi"/>
          <w:i/>
          <w:color w:val="365F91" w:themeColor="accent1" w:themeShade="BF"/>
        </w:rPr>
      </w:pPr>
    </w:p>
    <w:p w14:paraId="64842E1A" w14:textId="77777777" w:rsidR="006C0318" w:rsidRPr="00646746" w:rsidRDefault="006C0318" w:rsidP="005C05DC">
      <w:pPr>
        <w:pStyle w:val="Heading4"/>
        <w:rPr>
          <w:i/>
          <w:color w:val="365F91" w:themeColor="accent1" w:themeShade="BF"/>
        </w:rPr>
      </w:pPr>
      <w:r w:rsidRPr="00646746">
        <w:t xml:space="preserve">Finalise the wording of each recommendation (including remarks) and any practical information needed to apply the recommendation </w:t>
      </w:r>
    </w:p>
    <w:p w14:paraId="4408AFED" w14:textId="77777777" w:rsidR="006C0318" w:rsidRPr="00646746" w:rsidRDefault="006C0318" w:rsidP="006C0318">
      <w:pPr>
        <w:spacing w:after="0"/>
        <w:rPr>
          <w:rFonts w:ascii="Gotham Book" w:hAnsi="Gotham Book"/>
        </w:rPr>
      </w:pPr>
      <w:r w:rsidRPr="00646746">
        <w:rPr>
          <w:rFonts w:ascii="Gotham Book" w:hAnsi="Gotham Book"/>
        </w:rPr>
        <w:t xml:space="preserve">Most GDGs will agree on the direction and strength of a recommendation in meetings, but the wording of the recommendation usually needs to be finalised after the meeting. </w:t>
      </w:r>
    </w:p>
    <w:p w14:paraId="5DE4B24E" w14:textId="77777777" w:rsidR="006C0318" w:rsidRPr="00646746" w:rsidRDefault="006C0318" w:rsidP="006C0318">
      <w:pPr>
        <w:spacing w:after="0"/>
        <w:rPr>
          <w:rFonts w:ascii="Gotham Book" w:hAnsi="Gotham Book"/>
        </w:rPr>
      </w:pPr>
    </w:p>
    <w:p w14:paraId="1C51E926" w14:textId="5F7C4DAE" w:rsidR="006C0318" w:rsidRPr="00646746" w:rsidRDefault="006C0318" w:rsidP="006C0318">
      <w:pPr>
        <w:spacing w:after="0"/>
        <w:rPr>
          <w:rFonts w:ascii="Gotham Book" w:hAnsi="Gotham Book"/>
        </w:rPr>
      </w:pPr>
      <w:r w:rsidRPr="00646746">
        <w:rPr>
          <w:rFonts w:ascii="Gotham Book" w:hAnsi="Gotham Book"/>
        </w:rPr>
        <w:t xml:space="preserve">Those using the guideline will also need practical information to help them implement the recommendation. </w:t>
      </w:r>
      <w:proofErr w:type="spellStart"/>
      <w:r w:rsidRPr="00646746">
        <w:rPr>
          <w:rFonts w:ascii="Gotham Book" w:hAnsi="Gotham Book"/>
        </w:rPr>
        <w:t>MAGIC</w:t>
      </w:r>
      <w:r w:rsidR="00BE7287">
        <w:rPr>
          <w:rFonts w:ascii="Gotham Book" w:hAnsi="Gotham Book"/>
        </w:rPr>
        <w:t>app</w:t>
      </w:r>
      <w:proofErr w:type="spellEnd"/>
      <w:r w:rsidRPr="00646746">
        <w:rPr>
          <w:rFonts w:ascii="Gotham Book" w:hAnsi="Gotham Book"/>
        </w:rPr>
        <w:t xml:space="preserve"> includes a section (tab) for ‘practical information’ related to each recommendation and there are many good examples on the platform (for example,</w:t>
      </w:r>
      <w:r w:rsidR="00BE7287">
        <w:rPr>
          <w:rFonts w:ascii="Gotham Book" w:hAnsi="Gotham Book"/>
        </w:rPr>
        <w:t xml:space="preserve"> see</w:t>
      </w:r>
      <w:r w:rsidRPr="00646746">
        <w:rPr>
          <w:rFonts w:ascii="Gotham Book" w:hAnsi="Gotham Book"/>
        </w:rPr>
        <w:t xml:space="preserve"> the accompanying practical information for the recommendations in </w:t>
      </w:r>
      <w:r w:rsidRPr="001B7FA4">
        <w:rPr>
          <w:rFonts w:ascii="Gotham Book" w:hAnsi="Gotham Book"/>
          <w:u w:val="single"/>
        </w:rPr>
        <w:t xml:space="preserve">Table </w:t>
      </w:r>
      <w:r w:rsidR="00A50F49" w:rsidRPr="001B7FA4">
        <w:rPr>
          <w:rFonts w:ascii="Gotham Book" w:hAnsi="Gotham Book"/>
          <w:u w:val="single"/>
        </w:rPr>
        <w:t>4</w:t>
      </w:r>
      <w:r w:rsidRPr="00646746">
        <w:rPr>
          <w:rFonts w:ascii="Gotham Book" w:hAnsi="Gotham Book"/>
        </w:rPr>
        <w:t>). This practical information is sometimes referred to as ‘implementation guidance’, ‘implementation considerations, tools and tips’ or the ‘how, who, where, what and when’ for applying the recommendation</w:t>
      </w:r>
      <w:r w:rsidR="0081565D" w:rsidRPr="0081565D">
        <w:rPr>
          <w:rFonts w:ascii="Gotham Book" w:hAnsi="Gotham Book"/>
          <w:vertAlign w:val="superscript"/>
        </w:rPr>
        <w:t>36,40</w:t>
      </w:r>
      <w:r w:rsidR="0081565D">
        <w:rPr>
          <w:rFonts w:ascii="Gotham Book" w:hAnsi="Gotham Book"/>
        </w:rPr>
        <w:t xml:space="preserve">. </w:t>
      </w:r>
      <w:r w:rsidRPr="00646746">
        <w:rPr>
          <w:rFonts w:ascii="Gotham Book" w:hAnsi="Gotham Book"/>
        </w:rPr>
        <w:t xml:space="preserve">This practical information is intended to support the recommendation (it does not ‘stand-alone’). The GDG has complete discretion to include whatever content they consider important for the recommendation, but this can include dose and duration of treatment, how to monitor and discontinue treatment, considerations for particular groups of patients, and links to external resources (including other guidelines) and support services. </w:t>
      </w:r>
    </w:p>
    <w:p w14:paraId="78AC6EE6" w14:textId="77777777" w:rsidR="006C0318" w:rsidRPr="00646746" w:rsidRDefault="006C0318" w:rsidP="006C0318">
      <w:pPr>
        <w:spacing w:after="0"/>
        <w:rPr>
          <w:rFonts w:ascii="Gotham Book" w:hAnsi="Gotham Book"/>
        </w:rPr>
      </w:pPr>
    </w:p>
    <w:p w14:paraId="4C78E076" w14:textId="0D6A0650" w:rsidR="00485594" w:rsidRPr="00646746" w:rsidRDefault="006C0318" w:rsidP="006C0318">
      <w:pPr>
        <w:spacing w:after="0"/>
        <w:rPr>
          <w:rFonts w:ascii="Gotham Book" w:hAnsi="Gotham Book"/>
        </w:rPr>
      </w:pPr>
      <w:r w:rsidRPr="00646746">
        <w:rPr>
          <w:rFonts w:ascii="Gotham Book" w:hAnsi="Gotham Book"/>
        </w:rPr>
        <w:t>Any specific considerations for particular population groups (sometimes referred to as ‘subgroups’) should be summarised, especially if the recommendation is conditional on population-related characteristics.</w:t>
      </w:r>
    </w:p>
    <w:p w14:paraId="269352AD" w14:textId="77777777" w:rsidR="006C0318" w:rsidRPr="00646746" w:rsidRDefault="006C0318" w:rsidP="006C0318">
      <w:pPr>
        <w:spacing w:after="0"/>
        <w:rPr>
          <w:rFonts w:ascii="Gotham Book" w:hAnsi="Gotham Book" w:cs="Calibri"/>
          <w:color w:val="000000"/>
        </w:rPr>
      </w:pPr>
    </w:p>
    <w:p w14:paraId="1CA3BD7F" w14:textId="77777777" w:rsidR="00B5501A" w:rsidRPr="00646746" w:rsidRDefault="00B5501A" w:rsidP="005C05DC">
      <w:pPr>
        <w:pStyle w:val="Heading4"/>
        <w:rPr>
          <w:i/>
          <w:color w:val="365F91" w:themeColor="accent1" w:themeShade="BF"/>
        </w:rPr>
      </w:pPr>
      <w:r w:rsidRPr="00646746">
        <w:t xml:space="preserve">Finalise the </w:t>
      </w:r>
      <w:proofErr w:type="spellStart"/>
      <w:r w:rsidRPr="00646746">
        <w:t>EtD</w:t>
      </w:r>
      <w:proofErr w:type="spellEnd"/>
      <w:r w:rsidRPr="00646746">
        <w:t xml:space="preserve"> content and the justification (rationale) for each recommendation, ensuring these provide a transparent account of all judgements </w:t>
      </w:r>
    </w:p>
    <w:p w14:paraId="41DD7856" w14:textId="77777777" w:rsidR="00B5501A" w:rsidRPr="00646746" w:rsidRDefault="00B5501A" w:rsidP="00B5501A">
      <w:pPr>
        <w:spacing w:after="0"/>
        <w:rPr>
          <w:rFonts w:ascii="Gotham Book" w:hAnsi="Gotham Book"/>
        </w:rPr>
      </w:pPr>
      <w:r w:rsidRPr="00646746">
        <w:rPr>
          <w:rFonts w:ascii="Gotham Book" w:hAnsi="Gotham Book"/>
        </w:rPr>
        <w:t xml:space="preserve">The final </w:t>
      </w:r>
      <w:proofErr w:type="spellStart"/>
      <w:r w:rsidRPr="00646746">
        <w:rPr>
          <w:rFonts w:ascii="Gotham Book" w:hAnsi="Gotham Book"/>
        </w:rPr>
        <w:t>EtD</w:t>
      </w:r>
      <w:proofErr w:type="spellEnd"/>
      <w:r w:rsidRPr="00646746">
        <w:rPr>
          <w:rFonts w:ascii="Gotham Book" w:hAnsi="Gotham Book"/>
        </w:rPr>
        <w:t xml:space="preserve"> should include explicit and direct links to the evidence that underpinned each decision. Any new evidence or additional considerations that was influential should be addressed in the framework (directly or via linked </w:t>
      </w:r>
      <w:r w:rsidRPr="00646746">
        <w:rPr>
          <w:rFonts w:ascii="Gotham Book" w:hAnsi="Gotham Book"/>
        </w:rPr>
        <w:lastRenderedPageBreak/>
        <w:t xml:space="preserve">sources). For each </w:t>
      </w:r>
      <w:proofErr w:type="spellStart"/>
      <w:r w:rsidRPr="00646746">
        <w:rPr>
          <w:rFonts w:ascii="Gotham Book" w:hAnsi="Gotham Book"/>
        </w:rPr>
        <w:t>EtD</w:t>
      </w:r>
      <w:proofErr w:type="spellEnd"/>
      <w:r w:rsidRPr="00646746">
        <w:rPr>
          <w:rFonts w:ascii="Gotham Book" w:hAnsi="Gotham Book"/>
        </w:rPr>
        <w:t xml:space="preserve"> criterion, the GDGs judgement should be presented. It should be clear how the GDG weighed up the evidence to reach these judgements and the overall decision about the direction and strength of the recommendation. </w:t>
      </w:r>
    </w:p>
    <w:p w14:paraId="01A0C652" w14:textId="77777777" w:rsidR="00B5501A" w:rsidRPr="00646746" w:rsidRDefault="00B5501A" w:rsidP="00B5501A">
      <w:pPr>
        <w:spacing w:after="0"/>
        <w:rPr>
          <w:rFonts w:ascii="Gotham Book" w:hAnsi="Gotham Book"/>
        </w:rPr>
      </w:pPr>
    </w:p>
    <w:p w14:paraId="307E7677" w14:textId="6C6BD052" w:rsidR="006C0318" w:rsidRPr="00646746" w:rsidRDefault="00B5501A" w:rsidP="00B5501A">
      <w:pPr>
        <w:spacing w:after="0"/>
        <w:rPr>
          <w:rFonts w:ascii="Gotham Book" w:hAnsi="Gotham Book" w:cs="Calibri"/>
          <w:color w:val="000000"/>
        </w:rPr>
      </w:pPr>
      <w:r w:rsidRPr="00646746">
        <w:rPr>
          <w:rFonts w:ascii="Gotham Book" w:hAnsi="Gotham Book"/>
        </w:rPr>
        <w:t xml:space="preserve">Some </w:t>
      </w:r>
      <w:proofErr w:type="spellStart"/>
      <w:r w:rsidRPr="00646746">
        <w:rPr>
          <w:rFonts w:ascii="Gotham Book" w:hAnsi="Gotham Book"/>
        </w:rPr>
        <w:t>EtD</w:t>
      </w:r>
      <w:proofErr w:type="spellEnd"/>
      <w:r w:rsidRPr="00646746">
        <w:rPr>
          <w:rFonts w:ascii="Gotham Book" w:hAnsi="Gotham Book"/>
        </w:rPr>
        <w:t xml:space="preserve"> templates, such as those in </w:t>
      </w:r>
      <w:proofErr w:type="spellStart"/>
      <w:r w:rsidRPr="00646746">
        <w:rPr>
          <w:rFonts w:ascii="Gotham Book" w:hAnsi="Gotham Book"/>
        </w:rPr>
        <w:t>GRADEpro</w:t>
      </w:r>
      <w:proofErr w:type="spellEnd"/>
      <w:r w:rsidRPr="00646746">
        <w:rPr>
          <w:rFonts w:ascii="Gotham Book" w:hAnsi="Gotham Book"/>
        </w:rPr>
        <w:t>, also have sections that address implementation (e.g. facilitators of equitable access, health professional skill development), monitoring and evaluation, and research priorities.</w:t>
      </w:r>
    </w:p>
    <w:p w14:paraId="3B6AE9C7" w14:textId="77777777" w:rsidR="00485594" w:rsidRPr="00646746" w:rsidRDefault="00485594" w:rsidP="000D3F62">
      <w:pPr>
        <w:spacing w:after="0"/>
        <w:rPr>
          <w:rFonts w:ascii="Gotham Book" w:hAnsi="Gotham Book"/>
        </w:rPr>
      </w:pPr>
    </w:p>
    <w:p w14:paraId="192148AF" w14:textId="77777777" w:rsidR="00B5501A" w:rsidRPr="00646746" w:rsidRDefault="00B5501A" w:rsidP="005C05DC">
      <w:pPr>
        <w:pStyle w:val="Heading4"/>
        <w:rPr>
          <w:i/>
          <w:color w:val="365F91" w:themeColor="accent1" w:themeShade="BF"/>
        </w:rPr>
      </w:pPr>
      <w:r w:rsidRPr="00646746">
        <w:t xml:space="preserve">Have the GDG review the draft recommendations and supporting information (including </w:t>
      </w:r>
      <w:proofErr w:type="spellStart"/>
      <w:r w:rsidRPr="00646746">
        <w:t>EtDs</w:t>
      </w:r>
      <w:proofErr w:type="spellEnd"/>
      <w:r w:rsidRPr="00646746">
        <w:t xml:space="preserve">) </w:t>
      </w:r>
    </w:p>
    <w:p w14:paraId="78D2628F" w14:textId="70130198" w:rsidR="003945D0" w:rsidRPr="002A16CD" w:rsidRDefault="00B5501A" w:rsidP="002A16CD">
      <w:pPr>
        <w:spacing w:after="0"/>
        <w:rPr>
          <w:rStyle w:val="Hyperlink"/>
          <w:rFonts w:ascii="Gotham Book" w:eastAsiaTheme="majorEastAsia" w:hAnsi="Gotham Book" w:cstheme="majorBidi"/>
          <w:i/>
          <w:color w:val="365F91" w:themeColor="accent1" w:themeShade="BF"/>
          <w:u w:val="none"/>
        </w:rPr>
      </w:pPr>
      <w:r w:rsidRPr="00646746">
        <w:rPr>
          <w:rFonts w:ascii="Gotham Book" w:hAnsi="Gotham Book"/>
        </w:rPr>
        <w:t xml:space="preserve">It is critical that the GDG has opportunity to review and comment on any changes to the </w:t>
      </w:r>
      <w:proofErr w:type="spellStart"/>
      <w:r w:rsidRPr="00646746">
        <w:rPr>
          <w:rFonts w:ascii="Gotham Book" w:hAnsi="Gotham Book"/>
        </w:rPr>
        <w:t>EtD</w:t>
      </w:r>
      <w:proofErr w:type="spellEnd"/>
      <w:r w:rsidRPr="00646746">
        <w:rPr>
          <w:rFonts w:ascii="Gotham Book" w:hAnsi="Gotham Book"/>
        </w:rPr>
        <w:t>, practical information, and in particular the recommendation prior to publication. At a minimum, all GDG members should approve the final wording of the recommendation.</w:t>
      </w:r>
      <w:bookmarkEnd w:id="11"/>
    </w:p>
    <w:p w14:paraId="27F8753A" w14:textId="1ED5028F" w:rsidR="002B56CE" w:rsidRPr="005C05DC" w:rsidRDefault="00406FE9" w:rsidP="005C05DC">
      <w:pPr>
        <w:pStyle w:val="Heading1"/>
      </w:pPr>
      <w:bookmarkStart w:id="17" w:name="_Toc184284430"/>
      <w:r w:rsidRPr="005C05DC">
        <w:t>References</w:t>
      </w:r>
      <w:bookmarkEnd w:id="17"/>
    </w:p>
    <w:p w14:paraId="62B21E86" w14:textId="77777777" w:rsidR="00AF3AA3" w:rsidRPr="00AF3AA3" w:rsidRDefault="00AF3AA3" w:rsidP="00AF3AA3">
      <w:pPr>
        <w:numPr>
          <w:ilvl w:val="0"/>
          <w:numId w:val="18"/>
        </w:numPr>
        <w:spacing w:after="120" w:line="240" w:lineRule="auto"/>
        <w:rPr>
          <w:rFonts w:ascii="Gotham Book" w:hAnsi="Gotham Book"/>
          <w:sz w:val="20"/>
          <w:szCs w:val="20"/>
        </w:rPr>
      </w:pPr>
      <w:r w:rsidRPr="00AF3AA3">
        <w:rPr>
          <w:rFonts w:ascii="Gotham Book" w:hAnsi="Gotham Book"/>
          <w:sz w:val="20"/>
          <w:szCs w:val="20"/>
        </w:rPr>
        <w:t xml:space="preserve">Rosenbaum, SE., Moberg, J., et al. (2018) </w:t>
      </w:r>
      <w:r w:rsidRPr="00AF3AA3">
        <w:rPr>
          <w:rFonts w:ascii="Gotham Book" w:hAnsi="Gotham Book"/>
          <w:i/>
          <w:iCs/>
          <w:sz w:val="20"/>
          <w:szCs w:val="20"/>
        </w:rPr>
        <w:t>Developing Evidence to Decision Frameworks and an Interactive Evidence to Decision Tool for Making and Using Decisions and Recommendations in Health Care</w:t>
      </w:r>
      <w:r w:rsidRPr="00AF3AA3">
        <w:rPr>
          <w:rFonts w:ascii="Gotham Book" w:hAnsi="Gotham Book"/>
          <w:sz w:val="20"/>
          <w:szCs w:val="20"/>
        </w:rPr>
        <w:t xml:space="preserve">. Global Challenges, 2, 1700081. </w:t>
      </w:r>
      <w:hyperlink r:id="rId39" w:history="1">
        <w:r w:rsidRPr="00AF3AA3">
          <w:rPr>
            <w:rStyle w:val="Hyperlink"/>
            <w:rFonts w:ascii="Gotham Book" w:hAnsi="Gotham Book"/>
            <w:sz w:val="20"/>
            <w:szCs w:val="20"/>
          </w:rPr>
          <w:t>https://doi.org/10.1002/gch2.201700081</w:t>
        </w:r>
      </w:hyperlink>
    </w:p>
    <w:p w14:paraId="6649DE8F" w14:textId="283FD424" w:rsidR="00AF3AA3" w:rsidRPr="00AF3AA3" w:rsidRDefault="00AF3AA3" w:rsidP="00AF3AA3">
      <w:pPr>
        <w:numPr>
          <w:ilvl w:val="0"/>
          <w:numId w:val="18"/>
        </w:numPr>
        <w:spacing w:after="120" w:line="240" w:lineRule="auto"/>
        <w:rPr>
          <w:rFonts w:ascii="Gotham Book" w:hAnsi="Gotham Book"/>
          <w:sz w:val="20"/>
          <w:szCs w:val="20"/>
        </w:rPr>
      </w:pPr>
      <w:r w:rsidRPr="00AF3AA3">
        <w:rPr>
          <w:rFonts w:ascii="Gotham Book" w:hAnsi="Gotham Book"/>
          <w:sz w:val="20"/>
          <w:szCs w:val="20"/>
        </w:rPr>
        <w:t xml:space="preserve">Neumann, I., Alonso-Coello P., et al. (2018) </w:t>
      </w:r>
      <w:r w:rsidRPr="00AF3AA3">
        <w:rPr>
          <w:rFonts w:ascii="Gotham Book" w:hAnsi="Gotham Book"/>
          <w:i/>
          <w:iCs/>
          <w:sz w:val="20"/>
          <w:szCs w:val="20"/>
        </w:rPr>
        <w:t xml:space="preserve">Do clinicians want recommendations? A </w:t>
      </w:r>
      <w:proofErr w:type="spellStart"/>
      <w:r w:rsidRPr="00AF3AA3">
        <w:rPr>
          <w:rFonts w:ascii="Gotham Book" w:hAnsi="Gotham Book"/>
          <w:i/>
          <w:iCs/>
          <w:sz w:val="20"/>
          <w:szCs w:val="20"/>
        </w:rPr>
        <w:t>multicenter</w:t>
      </w:r>
      <w:proofErr w:type="spellEnd"/>
      <w:r w:rsidRPr="00AF3AA3">
        <w:rPr>
          <w:rFonts w:ascii="Gotham Book" w:hAnsi="Gotham Book"/>
          <w:i/>
          <w:iCs/>
          <w:sz w:val="20"/>
          <w:szCs w:val="20"/>
        </w:rPr>
        <w:t xml:space="preserve"> study comparing evidence summaries with and without GRADE recommendations</w:t>
      </w:r>
      <w:r w:rsidRPr="00AF3AA3">
        <w:rPr>
          <w:rFonts w:ascii="Gotham Book" w:hAnsi="Gotham Book"/>
          <w:sz w:val="20"/>
          <w:szCs w:val="20"/>
        </w:rPr>
        <w:t>. J Clin Epidemiol, Jul:99:33-40. doi:10.1016/j.jclinepi.2018.02.026</w:t>
      </w:r>
      <w:r w:rsidR="00A91F32">
        <w:rPr>
          <w:rFonts w:ascii="Gotham Book" w:hAnsi="Gotham Book"/>
          <w:sz w:val="20"/>
          <w:szCs w:val="20"/>
        </w:rPr>
        <w:t xml:space="preserve"> </w:t>
      </w:r>
    </w:p>
    <w:p w14:paraId="3AEBF2A9" w14:textId="77777777" w:rsidR="00AF3AA3" w:rsidRPr="00AF3AA3" w:rsidRDefault="00AF3AA3" w:rsidP="00AF3AA3">
      <w:pPr>
        <w:numPr>
          <w:ilvl w:val="0"/>
          <w:numId w:val="18"/>
        </w:numPr>
        <w:spacing w:after="120" w:line="240" w:lineRule="auto"/>
        <w:rPr>
          <w:rFonts w:ascii="Gotham Book" w:hAnsi="Gotham Book"/>
          <w:sz w:val="20"/>
          <w:szCs w:val="20"/>
        </w:rPr>
      </w:pPr>
      <w:r w:rsidRPr="00AF3AA3">
        <w:rPr>
          <w:rFonts w:ascii="Gotham Book" w:hAnsi="Gotham Book"/>
          <w:sz w:val="20"/>
          <w:szCs w:val="20"/>
        </w:rPr>
        <w:t xml:space="preserve">Neumann, I. and </w:t>
      </w:r>
      <w:proofErr w:type="spellStart"/>
      <w:r w:rsidRPr="00AF3AA3">
        <w:rPr>
          <w:rFonts w:ascii="Gotham Book" w:hAnsi="Gotham Book"/>
          <w:sz w:val="20"/>
          <w:szCs w:val="20"/>
        </w:rPr>
        <w:t>Schünemann</w:t>
      </w:r>
      <w:proofErr w:type="spellEnd"/>
      <w:r w:rsidRPr="00AF3AA3">
        <w:rPr>
          <w:rFonts w:ascii="Gotham Book" w:hAnsi="Gotham Book"/>
          <w:sz w:val="20"/>
          <w:szCs w:val="20"/>
        </w:rPr>
        <w:t xml:space="preserve">, HJ. (2020) </w:t>
      </w:r>
      <w:r w:rsidRPr="00AF3AA3">
        <w:rPr>
          <w:rFonts w:ascii="Gotham Book" w:hAnsi="Gotham Book"/>
          <w:i/>
          <w:iCs/>
          <w:sz w:val="20"/>
          <w:szCs w:val="20"/>
        </w:rPr>
        <w:t>Guideline groups should make recommendations even if the evidence is considered insufficient.</w:t>
      </w:r>
      <w:r w:rsidRPr="00AF3AA3">
        <w:rPr>
          <w:rFonts w:ascii="Gotham Book" w:hAnsi="Gotham Book"/>
          <w:sz w:val="20"/>
          <w:szCs w:val="20"/>
        </w:rPr>
        <w:t xml:space="preserve"> CMAJ, Jan 13;192(2):E23-E24. </w:t>
      </w:r>
      <w:proofErr w:type="spellStart"/>
      <w:r w:rsidRPr="00AF3AA3">
        <w:rPr>
          <w:rFonts w:ascii="Gotham Book" w:hAnsi="Gotham Book"/>
          <w:sz w:val="20"/>
          <w:szCs w:val="20"/>
        </w:rPr>
        <w:t>doi</w:t>
      </w:r>
      <w:proofErr w:type="spellEnd"/>
      <w:r w:rsidRPr="00AF3AA3">
        <w:rPr>
          <w:rFonts w:ascii="Gotham Book" w:hAnsi="Gotham Book"/>
          <w:sz w:val="20"/>
          <w:szCs w:val="20"/>
        </w:rPr>
        <w:t>: 10.1503/cmaj.190144.</w:t>
      </w:r>
    </w:p>
    <w:p w14:paraId="08C907A7" w14:textId="61187947" w:rsidR="00AF3AA3" w:rsidRPr="00AF3AA3" w:rsidRDefault="00AF3AA3" w:rsidP="00AF3AA3">
      <w:pPr>
        <w:numPr>
          <w:ilvl w:val="0"/>
          <w:numId w:val="18"/>
        </w:numPr>
        <w:spacing w:after="120" w:line="240" w:lineRule="auto"/>
        <w:rPr>
          <w:rFonts w:ascii="Gotham Book" w:hAnsi="Gotham Book"/>
          <w:sz w:val="20"/>
          <w:szCs w:val="20"/>
        </w:rPr>
      </w:pPr>
      <w:r w:rsidRPr="00AF3AA3">
        <w:rPr>
          <w:rFonts w:ascii="Gotham Book" w:hAnsi="Gotham Book"/>
          <w:sz w:val="20"/>
          <w:szCs w:val="20"/>
        </w:rPr>
        <w:t>Andrews, J., Guyatt, G., Oxman, AD., Alderson, P., Dahm, P., Falck-</w:t>
      </w:r>
      <w:proofErr w:type="spellStart"/>
      <w:r w:rsidRPr="00AF3AA3">
        <w:rPr>
          <w:rFonts w:ascii="Gotham Book" w:hAnsi="Gotham Book"/>
          <w:sz w:val="20"/>
          <w:szCs w:val="20"/>
        </w:rPr>
        <w:t>Ytter</w:t>
      </w:r>
      <w:proofErr w:type="spellEnd"/>
      <w:r w:rsidRPr="00AF3AA3">
        <w:rPr>
          <w:rFonts w:ascii="Gotham Book" w:hAnsi="Gotham Book"/>
          <w:sz w:val="20"/>
          <w:szCs w:val="20"/>
        </w:rPr>
        <w:t xml:space="preserve">, Y., et al. (2013) </w:t>
      </w:r>
      <w:r w:rsidRPr="00AF3AA3">
        <w:rPr>
          <w:rFonts w:ascii="Gotham Book" w:hAnsi="Gotham Book"/>
          <w:i/>
          <w:iCs/>
          <w:sz w:val="20"/>
          <w:szCs w:val="20"/>
        </w:rPr>
        <w:t>GRADE guidelines: 14. Going from evidence to recommendations: the significance and presentation of recommendations.</w:t>
      </w:r>
      <w:r w:rsidRPr="00AF3AA3">
        <w:rPr>
          <w:rFonts w:ascii="Gotham Book" w:hAnsi="Gotham Book"/>
          <w:sz w:val="20"/>
          <w:szCs w:val="20"/>
        </w:rPr>
        <w:t xml:space="preserve"> J Clin Epidemiol, 66:719-25.</w:t>
      </w:r>
      <w:r w:rsidR="00515AB8">
        <w:rPr>
          <w:rFonts w:ascii="Gotham Book" w:hAnsi="Gotham Book"/>
          <w:sz w:val="20"/>
          <w:szCs w:val="20"/>
        </w:rPr>
        <w:t xml:space="preserve"> </w:t>
      </w:r>
      <w:proofErr w:type="spellStart"/>
      <w:r w:rsidR="00515AB8" w:rsidRPr="00515AB8">
        <w:rPr>
          <w:rFonts w:ascii="Gotham Book" w:hAnsi="Gotham Book"/>
          <w:sz w:val="20"/>
          <w:szCs w:val="20"/>
        </w:rPr>
        <w:t>doi</w:t>
      </w:r>
      <w:proofErr w:type="spellEnd"/>
      <w:r w:rsidR="00515AB8" w:rsidRPr="00515AB8">
        <w:rPr>
          <w:rFonts w:ascii="Gotham Book" w:hAnsi="Gotham Book"/>
          <w:sz w:val="20"/>
          <w:szCs w:val="20"/>
        </w:rPr>
        <w:t>: 10.1016/j.jclinepi.2012.03.013</w:t>
      </w:r>
    </w:p>
    <w:p w14:paraId="2337455F" w14:textId="77777777" w:rsidR="00AF3AA3" w:rsidRPr="00AF3AA3" w:rsidRDefault="00AF3AA3" w:rsidP="00AF3AA3">
      <w:pPr>
        <w:numPr>
          <w:ilvl w:val="0"/>
          <w:numId w:val="18"/>
        </w:numPr>
        <w:spacing w:after="120" w:line="240" w:lineRule="auto"/>
        <w:rPr>
          <w:rFonts w:ascii="Gotham Book" w:hAnsi="Gotham Book"/>
          <w:sz w:val="20"/>
          <w:szCs w:val="20"/>
        </w:rPr>
      </w:pPr>
      <w:r w:rsidRPr="00AF3AA3">
        <w:rPr>
          <w:rFonts w:ascii="Gotham Book" w:hAnsi="Gotham Book"/>
          <w:sz w:val="20"/>
          <w:szCs w:val="20"/>
        </w:rPr>
        <w:t xml:space="preserve">Moberg, J., Oxman, AD., et al. (2018) </w:t>
      </w:r>
      <w:r w:rsidRPr="00AF3AA3">
        <w:rPr>
          <w:rFonts w:ascii="Gotham Book" w:hAnsi="Gotham Book"/>
          <w:i/>
          <w:iCs/>
          <w:sz w:val="20"/>
          <w:szCs w:val="20"/>
        </w:rPr>
        <w:t>The GRADE Evidence to Decision (</w:t>
      </w:r>
      <w:proofErr w:type="spellStart"/>
      <w:r w:rsidRPr="00AF3AA3">
        <w:rPr>
          <w:rFonts w:ascii="Gotham Book" w:hAnsi="Gotham Book"/>
          <w:i/>
          <w:iCs/>
          <w:sz w:val="20"/>
          <w:szCs w:val="20"/>
        </w:rPr>
        <w:t>EtD</w:t>
      </w:r>
      <w:proofErr w:type="spellEnd"/>
      <w:r w:rsidRPr="00AF3AA3">
        <w:rPr>
          <w:rFonts w:ascii="Gotham Book" w:hAnsi="Gotham Book"/>
          <w:i/>
          <w:iCs/>
          <w:sz w:val="20"/>
          <w:szCs w:val="20"/>
        </w:rPr>
        <w:t>) framework for health system and public health decisions.</w:t>
      </w:r>
      <w:r w:rsidRPr="00AF3AA3">
        <w:rPr>
          <w:rFonts w:ascii="Gotham Book" w:hAnsi="Gotham Book"/>
          <w:sz w:val="20"/>
          <w:szCs w:val="20"/>
        </w:rPr>
        <w:t xml:space="preserve"> Health Res Policy Syst, May 29;16(1):45. </w:t>
      </w:r>
      <w:proofErr w:type="spellStart"/>
      <w:r w:rsidRPr="00AF3AA3">
        <w:rPr>
          <w:rFonts w:ascii="Gotham Book" w:hAnsi="Gotham Book"/>
          <w:sz w:val="20"/>
          <w:szCs w:val="20"/>
        </w:rPr>
        <w:t>doi</w:t>
      </w:r>
      <w:proofErr w:type="spellEnd"/>
      <w:r w:rsidRPr="00AF3AA3">
        <w:rPr>
          <w:rFonts w:ascii="Gotham Book" w:hAnsi="Gotham Book"/>
          <w:sz w:val="20"/>
          <w:szCs w:val="20"/>
        </w:rPr>
        <w:t>: 10.1186/s12961-018-0320-2.</w:t>
      </w:r>
    </w:p>
    <w:p w14:paraId="1A6D0DBA" w14:textId="77777777" w:rsidR="00AF3AA3" w:rsidRPr="00AF3AA3" w:rsidRDefault="00AF3AA3" w:rsidP="00AF3AA3">
      <w:pPr>
        <w:numPr>
          <w:ilvl w:val="0"/>
          <w:numId w:val="18"/>
        </w:numPr>
        <w:spacing w:after="120" w:line="240" w:lineRule="auto"/>
        <w:rPr>
          <w:rFonts w:ascii="Gotham Book" w:hAnsi="Gotham Book"/>
          <w:sz w:val="20"/>
          <w:szCs w:val="20"/>
        </w:rPr>
      </w:pPr>
      <w:r w:rsidRPr="00AF3AA3">
        <w:rPr>
          <w:rFonts w:ascii="Gotham Book" w:hAnsi="Gotham Book"/>
          <w:sz w:val="20"/>
          <w:szCs w:val="20"/>
        </w:rPr>
        <w:t xml:space="preserve">Alonso-Coello, P., </w:t>
      </w:r>
      <w:proofErr w:type="spellStart"/>
      <w:r w:rsidRPr="00AF3AA3">
        <w:rPr>
          <w:rFonts w:ascii="Gotham Book" w:hAnsi="Gotham Book"/>
          <w:sz w:val="20"/>
          <w:szCs w:val="20"/>
        </w:rPr>
        <w:t>Schünemann</w:t>
      </w:r>
      <w:proofErr w:type="spellEnd"/>
      <w:r w:rsidRPr="00AF3AA3">
        <w:rPr>
          <w:rFonts w:ascii="Gotham Book" w:hAnsi="Gotham Book"/>
          <w:sz w:val="20"/>
          <w:szCs w:val="20"/>
        </w:rPr>
        <w:t xml:space="preserve">, HJ., Moberg, J., </w:t>
      </w:r>
      <w:proofErr w:type="spellStart"/>
      <w:r w:rsidRPr="00AF3AA3">
        <w:rPr>
          <w:rFonts w:ascii="Gotham Book" w:hAnsi="Gotham Book"/>
          <w:sz w:val="20"/>
          <w:szCs w:val="20"/>
        </w:rPr>
        <w:t>Brignardello</w:t>
      </w:r>
      <w:proofErr w:type="spellEnd"/>
      <w:r w:rsidRPr="00AF3AA3">
        <w:rPr>
          <w:rFonts w:ascii="Gotham Book" w:hAnsi="Gotham Book"/>
          <w:sz w:val="20"/>
          <w:szCs w:val="20"/>
        </w:rPr>
        <w:t xml:space="preserve">-Petersen, R., Akl, EA., Davoli, M., et al. (2016) </w:t>
      </w:r>
      <w:r w:rsidRPr="00AF3AA3">
        <w:rPr>
          <w:rFonts w:ascii="Gotham Book" w:hAnsi="Gotham Book"/>
          <w:i/>
          <w:iCs/>
          <w:sz w:val="20"/>
          <w:szCs w:val="20"/>
        </w:rPr>
        <w:t>GRADE Evidence to Decision (</w:t>
      </w:r>
      <w:proofErr w:type="spellStart"/>
      <w:r w:rsidRPr="00AF3AA3">
        <w:rPr>
          <w:rFonts w:ascii="Gotham Book" w:hAnsi="Gotham Book"/>
          <w:i/>
          <w:iCs/>
          <w:sz w:val="20"/>
          <w:szCs w:val="20"/>
        </w:rPr>
        <w:t>EtD</w:t>
      </w:r>
      <w:proofErr w:type="spellEnd"/>
      <w:r w:rsidRPr="00AF3AA3">
        <w:rPr>
          <w:rFonts w:ascii="Gotham Book" w:hAnsi="Gotham Book"/>
          <w:i/>
          <w:iCs/>
          <w:sz w:val="20"/>
          <w:szCs w:val="20"/>
        </w:rPr>
        <w:t>) frameworks: a systematic and transparent approach to making well informed healthcare choices. 1: Introduction.</w:t>
      </w:r>
      <w:r w:rsidRPr="00AF3AA3">
        <w:rPr>
          <w:rFonts w:ascii="Gotham Book" w:hAnsi="Gotham Book"/>
          <w:sz w:val="20"/>
          <w:szCs w:val="20"/>
        </w:rPr>
        <w:t xml:space="preserve"> BMJ, 353. doi:10.1136/bmj.i2016</w:t>
      </w:r>
    </w:p>
    <w:p w14:paraId="64B46598" w14:textId="77777777" w:rsidR="00AF3AA3" w:rsidRPr="00AF3AA3" w:rsidRDefault="00AF3AA3" w:rsidP="00AF3AA3">
      <w:pPr>
        <w:numPr>
          <w:ilvl w:val="0"/>
          <w:numId w:val="18"/>
        </w:numPr>
        <w:spacing w:after="120" w:line="240" w:lineRule="auto"/>
        <w:rPr>
          <w:rFonts w:ascii="Gotham Book" w:hAnsi="Gotham Book"/>
          <w:sz w:val="20"/>
          <w:szCs w:val="20"/>
        </w:rPr>
      </w:pPr>
      <w:proofErr w:type="spellStart"/>
      <w:r w:rsidRPr="00AF3AA3">
        <w:rPr>
          <w:rFonts w:ascii="Gotham Book" w:hAnsi="Gotham Book"/>
          <w:sz w:val="20"/>
          <w:szCs w:val="20"/>
        </w:rPr>
        <w:t>Schünemann</w:t>
      </w:r>
      <w:proofErr w:type="spellEnd"/>
      <w:r w:rsidRPr="00AF3AA3">
        <w:rPr>
          <w:rFonts w:ascii="Gotham Book" w:hAnsi="Gotham Book"/>
          <w:sz w:val="20"/>
          <w:szCs w:val="20"/>
        </w:rPr>
        <w:t xml:space="preserve">, HJ., Mustafa, R., et al. (2016) </w:t>
      </w:r>
      <w:r w:rsidRPr="00AF3AA3">
        <w:rPr>
          <w:rFonts w:ascii="Gotham Book" w:hAnsi="Gotham Book"/>
          <w:i/>
          <w:iCs/>
          <w:sz w:val="20"/>
          <w:szCs w:val="20"/>
        </w:rPr>
        <w:t>GRADE Guidelines: 16. GRADE evidence to decision frameworks for tests in clinical practice and public health</w:t>
      </w:r>
      <w:r w:rsidRPr="00AF3AA3">
        <w:rPr>
          <w:rFonts w:ascii="Gotham Book" w:hAnsi="Gotham Book"/>
          <w:sz w:val="20"/>
          <w:szCs w:val="20"/>
        </w:rPr>
        <w:t xml:space="preserve">. J Clin Epidemiol, Aug:76:89-98. </w:t>
      </w:r>
      <w:proofErr w:type="spellStart"/>
      <w:r w:rsidRPr="00AF3AA3">
        <w:rPr>
          <w:rFonts w:ascii="Gotham Book" w:hAnsi="Gotham Book"/>
          <w:sz w:val="20"/>
          <w:szCs w:val="20"/>
        </w:rPr>
        <w:t>doi</w:t>
      </w:r>
      <w:proofErr w:type="spellEnd"/>
      <w:r w:rsidRPr="00AF3AA3">
        <w:rPr>
          <w:rFonts w:ascii="Gotham Book" w:hAnsi="Gotham Book"/>
          <w:sz w:val="20"/>
          <w:szCs w:val="20"/>
        </w:rPr>
        <w:t>: 10.1016/j.jclinepi.2016.01.032.</w:t>
      </w:r>
    </w:p>
    <w:p w14:paraId="77AA6DEE" w14:textId="77777777" w:rsidR="00AF3AA3" w:rsidRPr="00AF3AA3" w:rsidRDefault="00AF3AA3" w:rsidP="00AF3AA3">
      <w:pPr>
        <w:numPr>
          <w:ilvl w:val="0"/>
          <w:numId w:val="18"/>
        </w:numPr>
        <w:spacing w:after="120" w:line="240" w:lineRule="auto"/>
        <w:rPr>
          <w:rFonts w:ascii="Gotham Book" w:hAnsi="Gotham Book"/>
          <w:sz w:val="20"/>
          <w:szCs w:val="20"/>
        </w:rPr>
      </w:pPr>
      <w:proofErr w:type="spellStart"/>
      <w:r w:rsidRPr="00AF3AA3">
        <w:rPr>
          <w:rFonts w:ascii="Gotham Book" w:hAnsi="Gotham Book"/>
          <w:sz w:val="20"/>
          <w:szCs w:val="20"/>
        </w:rPr>
        <w:lastRenderedPageBreak/>
        <w:t>Parmelli</w:t>
      </w:r>
      <w:proofErr w:type="spellEnd"/>
      <w:r w:rsidRPr="00AF3AA3">
        <w:rPr>
          <w:rFonts w:ascii="Gotham Book" w:hAnsi="Gotham Book"/>
          <w:sz w:val="20"/>
          <w:szCs w:val="20"/>
        </w:rPr>
        <w:t xml:space="preserve">, E., Amato, L., et al. (2017) </w:t>
      </w:r>
      <w:r w:rsidRPr="00AF3AA3">
        <w:rPr>
          <w:rFonts w:ascii="Gotham Book" w:hAnsi="Gotham Book"/>
          <w:i/>
          <w:iCs/>
          <w:sz w:val="20"/>
          <w:szCs w:val="20"/>
        </w:rPr>
        <w:t>GRADE EVIDENCE TO DECISION (</w:t>
      </w:r>
      <w:proofErr w:type="spellStart"/>
      <w:r w:rsidRPr="00AF3AA3">
        <w:rPr>
          <w:rFonts w:ascii="Gotham Book" w:hAnsi="Gotham Book"/>
          <w:i/>
          <w:iCs/>
          <w:sz w:val="20"/>
          <w:szCs w:val="20"/>
        </w:rPr>
        <w:t>EtD</w:t>
      </w:r>
      <w:proofErr w:type="spellEnd"/>
      <w:r w:rsidRPr="00AF3AA3">
        <w:rPr>
          <w:rFonts w:ascii="Gotham Book" w:hAnsi="Gotham Book"/>
          <w:i/>
          <w:iCs/>
          <w:sz w:val="20"/>
          <w:szCs w:val="20"/>
        </w:rPr>
        <w:t>) FRAMEWORK FOR COVERAGE DECISIONS</w:t>
      </w:r>
      <w:r w:rsidRPr="00AF3AA3">
        <w:rPr>
          <w:rFonts w:ascii="Gotham Book" w:hAnsi="Gotham Book"/>
          <w:sz w:val="20"/>
          <w:szCs w:val="20"/>
        </w:rPr>
        <w:t xml:space="preserve">. Int J Technol Assess Health Care, Jan;33(2):176-182. </w:t>
      </w:r>
      <w:proofErr w:type="spellStart"/>
      <w:r w:rsidRPr="00AF3AA3">
        <w:rPr>
          <w:rFonts w:ascii="Gotham Book" w:hAnsi="Gotham Book"/>
          <w:sz w:val="20"/>
          <w:szCs w:val="20"/>
        </w:rPr>
        <w:t>doi</w:t>
      </w:r>
      <w:proofErr w:type="spellEnd"/>
      <w:r w:rsidRPr="00AF3AA3">
        <w:rPr>
          <w:rFonts w:ascii="Gotham Book" w:hAnsi="Gotham Book"/>
          <w:sz w:val="20"/>
          <w:szCs w:val="20"/>
        </w:rPr>
        <w:t>: 10.1017/S0266462317000447.</w:t>
      </w:r>
    </w:p>
    <w:p w14:paraId="4BA6ED21" w14:textId="369458BD" w:rsidR="00AF3AA3" w:rsidRPr="00AF3AA3" w:rsidRDefault="00AF3AA3" w:rsidP="00406FE9">
      <w:pPr>
        <w:numPr>
          <w:ilvl w:val="0"/>
          <w:numId w:val="18"/>
        </w:numPr>
        <w:spacing w:after="120" w:line="240" w:lineRule="auto"/>
        <w:rPr>
          <w:rFonts w:ascii="Gotham Book" w:hAnsi="Gotham Book"/>
          <w:sz w:val="20"/>
          <w:szCs w:val="20"/>
        </w:rPr>
      </w:pPr>
      <w:proofErr w:type="spellStart"/>
      <w:r w:rsidRPr="00AF3AA3">
        <w:rPr>
          <w:rFonts w:ascii="Gotham Book" w:hAnsi="Gotham Book"/>
          <w:sz w:val="20"/>
          <w:szCs w:val="20"/>
        </w:rPr>
        <w:t>Senerth</w:t>
      </w:r>
      <w:proofErr w:type="spellEnd"/>
      <w:r w:rsidRPr="00AF3AA3">
        <w:rPr>
          <w:rFonts w:ascii="Gotham Book" w:hAnsi="Gotham Book"/>
          <w:sz w:val="20"/>
          <w:szCs w:val="20"/>
        </w:rPr>
        <w:t xml:space="preserve">, E., Whaley, P., Akl, EA., et al. (2024) </w:t>
      </w:r>
      <w:r w:rsidRPr="00AF3AA3">
        <w:rPr>
          <w:rFonts w:ascii="Gotham Book" w:hAnsi="Gotham Book"/>
          <w:i/>
          <w:iCs/>
          <w:sz w:val="20"/>
          <w:szCs w:val="20"/>
        </w:rPr>
        <w:t>GRADE Guidance 40: the GRADE evidence-to-decision framework for environmental and occupational health.</w:t>
      </w:r>
      <w:r w:rsidRPr="00AF3AA3">
        <w:rPr>
          <w:rFonts w:ascii="Gotham Book" w:hAnsi="Gotham Book"/>
          <w:sz w:val="20"/>
          <w:szCs w:val="20"/>
        </w:rPr>
        <w:t xml:space="preserve"> ESS Open Archive. May 10.</w:t>
      </w:r>
      <w:r w:rsidR="00406FE9">
        <w:rPr>
          <w:rFonts w:ascii="Gotham Book" w:hAnsi="Gotham Book"/>
          <w:sz w:val="20"/>
          <w:szCs w:val="20"/>
        </w:rPr>
        <w:t xml:space="preserve"> </w:t>
      </w:r>
      <w:r w:rsidR="00C360D9">
        <w:rPr>
          <w:rFonts w:ascii="Gotham Book" w:hAnsi="Gotham Book"/>
          <w:sz w:val="20"/>
          <w:szCs w:val="20"/>
        </w:rPr>
        <w:t>doi</w:t>
      </w:r>
      <w:r w:rsidRPr="00AF3AA3">
        <w:rPr>
          <w:rFonts w:ascii="Gotham Book" w:hAnsi="Gotham Book"/>
          <w:sz w:val="20"/>
          <w:szCs w:val="20"/>
        </w:rPr>
        <w:t>:10.22541/essoar.171535972.23271792/v1</w:t>
      </w:r>
    </w:p>
    <w:p w14:paraId="5DE3D910" w14:textId="6BD4089C"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Neumann, I., </w:t>
      </w:r>
      <w:proofErr w:type="spellStart"/>
      <w:r w:rsidRPr="00AF3AA3">
        <w:rPr>
          <w:rFonts w:ascii="Gotham Book" w:hAnsi="Gotham Book"/>
          <w:sz w:val="20"/>
          <w:szCs w:val="20"/>
        </w:rPr>
        <w:t>Santesso</w:t>
      </w:r>
      <w:proofErr w:type="spellEnd"/>
      <w:r w:rsidRPr="00AF3AA3">
        <w:rPr>
          <w:rFonts w:ascii="Gotham Book" w:hAnsi="Gotham Book"/>
          <w:sz w:val="20"/>
          <w:szCs w:val="20"/>
        </w:rPr>
        <w:t xml:space="preserve">, N., et al. (2016) </w:t>
      </w:r>
      <w:r w:rsidRPr="00AF3AA3">
        <w:rPr>
          <w:rFonts w:ascii="Gotham Book" w:hAnsi="Gotham Book"/>
          <w:i/>
          <w:iCs/>
          <w:sz w:val="20"/>
          <w:szCs w:val="20"/>
        </w:rPr>
        <w:t>A guide for health professionals to interpret and use recommendations in guidelines developed with the GRADE approach.</w:t>
      </w:r>
      <w:r w:rsidRPr="00AF3AA3">
        <w:rPr>
          <w:rFonts w:ascii="Gotham Book" w:hAnsi="Gotham Book"/>
          <w:sz w:val="20"/>
          <w:szCs w:val="20"/>
        </w:rPr>
        <w:t xml:space="preserve"> J Clin Epidemiol, 72:45-55. </w:t>
      </w:r>
      <w:proofErr w:type="spellStart"/>
      <w:r w:rsidR="008F2579" w:rsidRPr="008F2579">
        <w:rPr>
          <w:rFonts w:ascii="Gotham Book" w:hAnsi="Gotham Book"/>
          <w:sz w:val="20"/>
          <w:szCs w:val="20"/>
        </w:rPr>
        <w:t>doi</w:t>
      </w:r>
      <w:proofErr w:type="spellEnd"/>
      <w:r w:rsidR="008F2579" w:rsidRPr="008F2579">
        <w:rPr>
          <w:rFonts w:ascii="Gotham Book" w:hAnsi="Gotham Book"/>
          <w:sz w:val="20"/>
          <w:szCs w:val="20"/>
        </w:rPr>
        <w:t>: 10.1016/j.jclinepi.2015.11.017.</w:t>
      </w:r>
    </w:p>
    <w:p w14:paraId="090B1EFF" w14:textId="77777777" w:rsidR="00AF3AA3" w:rsidRPr="00AF3AA3" w:rsidRDefault="00AF3AA3" w:rsidP="00AF3AA3">
      <w:pPr>
        <w:numPr>
          <w:ilvl w:val="0"/>
          <w:numId w:val="19"/>
        </w:numPr>
        <w:spacing w:after="120" w:line="240" w:lineRule="auto"/>
        <w:rPr>
          <w:rFonts w:ascii="Gotham Book" w:hAnsi="Gotham Book"/>
          <w:sz w:val="20"/>
          <w:szCs w:val="20"/>
        </w:rPr>
      </w:pPr>
      <w:proofErr w:type="spellStart"/>
      <w:r w:rsidRPr="00AF3AA3">
        <w:rPr>
          <w:rFonts w:ascii="Gotham Book" w:hAnsi="Gotham Book"/>
          <w:sz w:val="20"/>
          <w:szCs w:val="20"/>
        </w:rPr>
        <w:t>Klugar</w:t>
      </w:r>
      <w:proofErr w:type="spellEnd"/>
      <w:r w:rsidRPr="00AF3AA3">
        <w:rPr>
          <w:rFonts w:ascii="Gotham Book" w:hAnsi="Gotham Book"/>
          <w:sz w:val="20"/>
          <w:szCs w:val="20"/>
        </w:rPr>
        <w:t xml:space="preserve">, M., Lotfi, T., Darzi, AJ., </w:t>
      </w:r>
      <w:proofErr w:type="spellStart"/>
      <w:r w:rsidRPr="00AF3AA3">
        <w:rPr>
          <w:rFonts w:ascii="Gotham Book" w:hAnsi="Gotham Book"/>
          <w:sz w:val="20"/>
          <w:szCs w:val="20"/>
        </w:rPr>
        <w:t>Reinap</w:t>
      </w:r>
      <w:proofErr w:type="spellEnd"/>
      <w:r w:rsidRPr="00AF3AA3">
        <w:rPr>
          <w:rFonts w:ascii="Gotham Book" w:hAnsi="Gotham Book"/>
          <w:sz w:val="20"/>
          <w:szCs w:val="20"/>
        </w:rPr>
        <w:t xml:space="preserve">, M., </w:t>
      </w:r>
      <w:proofErr w:type="spellStart"/>
      <w:r w:rsidRPr="00AF3AA3">
        <w:rPr>
          <w:rFonts w:ascii="Gotham Book" w:hAnsi="Gotham Book"/>
          <w:sz w:val="20"/>
          <w:szCs w:val="20"/>
        </w:rPr>
        <w:t>Klugarová</w:t>
      </w:r>
      <w:proofErr w:type="spellEnd"/>
      <w:r w:rsidRPr="00AF3AA3">
        <w:rPr>
          <w:rFonts w:ascii="Gotham Book" w:hAnsi="Gotham Book"/>
          <w:sz w:val="20"/>
          <w:szCs w:val="20"/>
        </w:rPr>
        <w:t xml:space="preserve">, J., Kantorová, L., et al. (2024) </w:t>
      </w:r>
      <w:r w:rsidRPr="00AF3AA3">
        <w:rPr>
          <w:rFonts w:ascii="Gotham Book" w:hAnsi="Gotham Book"/>
          <w:i/>
          <w:iCs/>
          <w:sz w:val="20"/>
          <w:szCs w:val="20"/>
        </w:rPr>
        <w:t>GRADE Guidance 39: Using GRADE-ADOLOPMENT to adopt, adapt or create contextualized recommendations from source guidelines and evidence syntheses.</w:t>
      </w:r>
      <w:r w:rsidRPr="00AF3AA3">
        <w:rPr>
          <w:rFonts w:ascii="Gotham Book" w:hAnsi="Gotham Book"/>
          <w:sz w:val="20"/>
          <w:szCs w:val="20"/>
        </w:rPr>
        <w:t xml:space="preserve"> J Clin. Epidemiol. 174;111494. </w:t>
      </w:r>
      <w:hyperlink r:id="rId40" w:history="1">
        <w:r w:rsidRPr="00AF3AA3">
          <w:rPr>
            <w:rStyle w:val="Hyperlink"/>
            <w:rFonts w:ascii="Gotham Book" w:hAnsi="Gotham Book"/>
            <w:sz w:val="20"/>
            <w:szCs w:val="20"/>
          </w:rPr>
          <w:t>https://doi.org/10.1016/j.jclinepi.2024.111494</w:t>
        </w:r>
      </w:hyperlink>
      <w:r w:rsidRPr="00AF3AA3">
        <w:rPr>
          <w:rFonts w:ascii="Gotham Book" w:hAnsi="Gotham Book"/>
          <w:sz w:val="20"/>
          <w:szCs w:val="20"/>
        </w:rPr>
        <w:t xml:space="preserve"> </w:t>
      </w:r>
    </w:p>
    <w:p w14:paraId="0AB0CA7F" w14:textId="77777777"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World Health Organization. Regional Office for E. (2023) </w:t>
      </w:r>
      <w:r w:rsidRPr="00AF3AA3">
        <w:rPr>
          <w:rFonts w:ascii="Gotham Book" w:hAnsi="Gotham Book"/>
          <w:i/>
          <w:iCs/>
          <w:sz w:val="20"/>
          <w:szCs w:val="20"/>
        </w:rPr>
        <w:t>Strengthening countries’ capacities to adopt and adapt evidence-based guidelines: a handbook for guideline contextualization. Copenhagen: World Health Organization</w:t>
      </w:r>
      <w:r w:rsidRPr="00AF3AA3">
        <w:rPr>
          <w:rFonts w:ascii="Gotham Book" w:hAnsi="Gotham Book"/>
          <w:sz w:val="20"/>
          <w:szCs w:val="20"/>
        </w:rPr>
        <w:t xml:space="preserve">. </w:t>
      </w:r>
      <w:hyperlink r:id="rId41" w:history="1">
        <w:r w:rsidRPr="00AF3AA3">
          <w:rPr>
            <w:rStyle w:val="Hyperlink"/>
            <w:rFonts w:ascii="Gotham Book" w:hAnsi="Gotham Book"/>
            <w:sz w:val="20"/>
            <w:szCs w:val="20"/>
          </w:rPr>
          <w:t>https://iris.who.int/handle/10665/372275</w:t>
        </w:r>
      </w:hyperlink>
      <w:r w:rsidRPr="00AF3AA3">
        <w:rPr>
          <w:rFonts w:ascii="Gotham Book" w:hAnsi="Gotham Book"/>
          <w:sz w:val="20"/>
          <w:szCs w:val="20"/>
        </w:rPr>
        <w:t xml:space="preserve"> </w:t>
      </w:r>
    </w:p>
    <w:p w14:paraId="3B5523E8" w14:textId="06863564"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Kahale, LA., </w:t>
      </w:r>
      <w:proofErr w:type="spellStart"/>
      <w:r w:rsidRPr="00AF3AA3">
        <w:rPr>
          <w:rFonts w:ascii="Gotham Book" w:hAnsi="Gotham Book"/>
          <w:sz w:val="20"/>
          <w:szCs w:val="20"/>
        </w:rPr>
        <w:t>Ouertatani</w:t>
      </w:r>
      <w:proofErr w:type="spellEnd"/>
      <w:r w:rsidRPr="00AF3AA3">
        <w:rPr>
          <w:rFonts w:ascii="Gotham Book" w:hAnsi="Gotham Book"/>
          <w:sz w:val="20"/>
          <w:szCs w:val="20"/>
        </w:rPr>
        <w:t xml:space="preserve">, H., </w:t>
      </w:r>
      <w:proofErr w:type="spellStart"/>
      <w:r w:rsidRPr="00AF3AA3">
        <w:rPr>
          <w:rFonts w:ascii="Gotham Book" w:hAnsi="Gotham Book"/>
          <w:sz w:val="20"/>
          <w:szCs w:val="20"/>
        </w:rPr>
        <w:t>Brahem</w:t>
      </w:r>
      <w:proofErr w:type="spellEnd"/>
      <w:r w:rsidRPr="00AF3AA3">
        <w:rPr>
          <w:rFonts w:ascii="Gotham Book" w:hAnsi="Gotham Book"/>
          <w:sz w:val="20"/>
          <w:szCs w:val="20"/>
        </w:rPr>
        <w:t xml:space="preserve">, AB., </w:t>
      </w:r>
      <w:proofErr w:type="spellStart"/>
      <w:r w:rsidRPr="00AF3AA3">
        <w:rPr>
          <w:rFonts w:ascii="Gotham Book" w:hAnsi="Gotham Book"/>
          <w:sz w:val="20"/>
          <w:szCs w:val="20"/>
        </w:rPr>
        <w:t>Grati</w:t>
      </w:r>
      <w:proofErr w:type="spellEnd"/>
      <w:r w:rsidRPr="00AF3AA3">
        <w:rPr>
          <w:rFonts w:ascii="Gotham Book" w:hAnsi="Gotham Book"/>
          <w:sz w:val="20"/>
          <w:szCs w:val="20"/>
        </w:rPr>
        <w:t xml:space="preserve">, H., Hamouda, MB., </w:t>
      </w:r>
      <w:proofErr w:type="spellStart"/>
      <w:r w:rsidRPr="00AF3AA3">
        <w:rPr>
          <w:rFonts w:ascii="Gotham Book" w:hAnsi="Gotham Book"/>
          <w:sz w:val="20"/>
          <w:szCs w:val="20"/>
        </w:rPr>
        <w:t>Saz</w:t>
      </w:r>
      <w:proofErr w:type="spellEnd"/>
      <w:r w:rsidRPr="00AF3AA3">
        <w:rPr>
          <w:rFonts w:ascii="Gotham Book" w:hAnsi="Gotham Book"/>
          <w:sz w:val="20"/>
          <w:szCs w:val="20"/>
        </w:rPr>
        <w:t xml:space="preserve">-Parkinson, Z., et al. (2021) </w:t>
      </w:r>
      <w:r w:rsidRPr="00AF3AA3">
        <w:rPr>
          <w:rFonts w:ascii="Gotham Book" w:hAnsi="Gotham Book"/>
          <w:i/>
          <w:iCs/>
          <w:sz w:val="20"/>
          <w:szCs w:val="20"/>
        </w:rPr>
        <w:t xml:space="preserve">Contextual differences considered in the Tunisian ADOLOPMENT of the European guidelines on breast cancer screening. </w:t>
      </w:r>
      <w:r w:rsidRPr="00AF3AA3">
        <w:rPr>
          <w:rFonts w:ascii="Gotham Book" w:hAnsi="Gotham Book"/>
          <w:sz w:val="20"/>
          <w:szCs w:val="20"/>
        </w:rPr>
        <w:t xml:space="preserve">Health Research Policy and Systems, 19:80. </w:t>
      </w:r>
      <w:hyperlink r:id="rId42" w:history="1">
        <w:r w:rsidR="006C1D9F" w:rsidRPr="00342F87">
          <w:rPr>
            <w:rStyle w:val="Hyperlink"/>
          </w:rPr>
          <w:t>https://doi.org/10.1186/s12961-021-00731-z</w:t>
        </w:r>
      </w:hyperlink>
      <w:r w:rsidR="006C1D9F">
        <w:t xml:space="preserve"> </w:t>
      </w:r>
    </w:p>
    <w:p w14:paraId="4C4F56D8" w14:textId="77777777"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Alonso-Coello. P., Oxman, AD., Moberg, J., </w:t>
      </w:r>
      <w:proofErr w:type="spellStart"/>
      <w:r w:rsidRPr="00AF3AA3">
        <w:rPr>
          <w:rFonts w:ascii="Gotham Book" w:hAnsi="Gotham Book"/>
          <w:sz w:val="20"/>
          <w:szCs w:val="20"/>
        </w:rPr>
        <w:t>Brignardello</w:t>
      </w:r>
      <w:proofErr w:type="spellEnd"/>
      <w:r w:rsidRPr="00AF3AA3">
        <w:rPr>
          <w:rFonts w:ascii="Gotham Book" w:hAnsi="Gotham Book"/>
          <w:sz w:val="20"/>
          <w:szCs w:val="20"/>
        </w:rPr>
        <w:t xml:space="preserve">-Petersen, R., Akl, EA., Davoli, M., et al. (2016) </w:t>
      </w:r>
      <w:r w:rsidRPr="00AF3AA3">
        <w:rPr>
          <w:rFonts w:ascii="Gotham Book" w:hAnsi="Gotham Book"/>
          <w:i/>
          <w:iCs/>
          <w:sz w:val="20"/>
          <w:szCs w:val="20"/>
        </w:rPr>
        <w:t>GRADE Evidence to Decision (</w:t>
      </w:r>
      <w:proofErr w:type="spellStart"/>
      <w:r w:rsidRPr="00AF3AA3">
        <w:rPr>
          <w:rFonts w:ascii="Gotham Book" w:hAnsi="Gotham Book"/>
          <w:i/>
          <w:iCs/>
          <w:sz w:val="20"/>
          <w:szCs w:val="20"/>
        </w:rPr>
        <w:t>EtD</w:t>
      </w:r>
      <w:proofErr w:type="spellEnd"/>
      <w:r w:rsidRPr="00AF3AA3">
        <w:rPr>
          <w:rFonts w:ascii="Gotham Book" w:hAnsi="Gotham Book"/>
          <w:i/>
          <w:iCs/>
          <w:sz w:val="20"/>
          <w:szCs w:val="20"/>
        </w:rPr>
        <w:t>) frameworks: a systematic and transparent approach to making well informed healthcare choices. 2: Clinical practice guidelines.</w:t>
      </w:r>
      <w:r w:rsidRPr="00AF3AA3">
        <w:rPr>
          <w:rFonts w:ascii="Gotham Book" w:hAnsi="Gotham Book"/>
          <w:sz w:val="20"/>
          <w:szCs w:val="20"/>
        </w:rPr>
        <w:t xml:space="preserve"> BMJ, 353. doi:10.1136/bmj.i2089 </w:t>
      </w:r>
    </w:p>
    <w:p w14:paraId="1AC374F6" w14:textId="360A8A4E"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Hilmer, SN., </w:t>
      </w:r>
      <w:proofErr w:type="spellStart"/>
      <w:r w:rsidRPr="00AF3AA3">
        <w:rPr>
          <w:rFonts w:ascii="Gotham Book" w:hAnsi="Gotham Book"/>
          <w:sz w:val="20"/>
          <w:szCs w:val="20"/>
        </w:rPr>
        <w:t>Gnjidic</w:t>
      </w:r>
      <w:proofErr w:type="spellEnd"/>
      <w:r w:rsidRPr="00AF3AA3">
        <w:rPr>
          <w:rFonts w:ascii="Gotham Book" w:hAnsi="Gotham Book"/>
          <w:sz w:val="20"/>
          <w:szCs w:val="20"/>
        </w:rPr>
        <w:t xml:space="preserve">, D., Reeve, E., Kalisch, Ellett, L., Wu, H., Raymond, J. (2019) </w:t>
      </w:r>
      <w:hyperlink r:id="rId43" w:history="1">
        <w:r w:rsidRPr="007414C3">
          <w:rPr>
            <w:rStyle w:val="Hyperlink"/>
            <w:rFonts w:ascii="Gotham Book" w:hAnsi="Gotham Book"/>
            <w:i/>
            <w:iCs/>
            <w:sz w:val="20"/>
            <w:szCs w:val="20"/>
          </w:rPr>
          <w:t>Use of Antipsychotic Medicines for People aged 65 years and over: A review undertaken for the Australian Commission on Safety and Quality in Health Care.</w:t>
        </w:r>
      </w:hyperlink>
      <w:r w:rsidRPr="00AF3AA3">
        <w:rPr>
          <w:rFonts w:ascii="Gotham Book" w:hAnsi="Gotham Book"/>
          <w:sz w:val="20"/>
          <w:szCs w:val="20"/>
        </w:rPr>
        <w:t xml:space="preserve"> Northern Sydney Local Health District, St Leonards NSW, Australia.</w:t>
      </w:r>
      <w:r w:rsidR="007414C3">
        <w:rPr>
          <w:rFonts w:ascii="Gotham Book" w:hAnsi="Gotham Book"/>
          <w:sz w:val="20"/>
          <w:szCs w:val="20"/>
        </w:rPr>
        <w:t xml:space="preserve"> </w:t>
      </w:r>
    </w:p>
    <w:p w14:paraId="576AC8B3" w14:textId="77777777"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Norris, SL., </w:t>
      </w:r>
      <w:proofErr w:type="spellStart"/>
      <w:r w:rsidRPr="00AF3AA3">
        <w:rPr>
          <w:rFonts w:ascii="Gotham Book" w:hAnsi="Gotham Book"/>
          <w:sz w:val="20"/>
          <w:szCs w:val="20"/>
        </w:rPr>
        <w:t>Rehfuess</w:t>
      </w:r>
      <w:proofErr w:type="spellEnd"/>
      <w:r w:rsidRPr="00AF3AA3">
        <w:rPr>
          <w:rFonts w:ascii="Gotham Book" w:hAnsi="Gotham Book"/>
          <w:sz w:val="20"/>
          <w:szCs w:val="20"/>
        </w:rPr>
        <w:t xml:space="preserve">, EA., et al. (2019) </w:t>
      </w:r>
      <w:r w:rsidRPr="00AF3AA3">
        <w:rPr>
          <w:rFonts w:ascii="Gotham Book" w:hAnsi="Gotham Book"/>
          <w:i/>
          <w:iCs/>
          <w:sz w:val="20"/>
          <w:szCs w:val="20"/>
        </w:rPr>
        <w:t>Complex health interventions in complex systems: improving the process and methods for evidence-informed health decisions.</w:t>
      </w:r>
      <w:r w:rsidRPr="00AF3AA3">
        <w:rPr>
          <w:rFonts w:ascii="Gotham Book" w:hAnsi="Gotham Book"/>
          <w:sz w:val="20"/>
          <w:szCs w:val="20"/>
        </w:rPr>
        <w:t xml:space="preserve"> BMJ Global Health, 4:e000963. </w:t>
      </w:r>
      <w:hyperlink r:id="rId44" w:history="1">
        <w:r w:rsidRPr="00AF3AA3">
          <w:rPr>
            <w:rStyle w:val="Hyperlink"/>
            <w:rFonts w:ascii="Gotham Book" w:hAnsi="Gotham Book"/>
            <w:sz w:val="20"/>
            <w:szCs w:val="20"/>
          </w:rPr>
          <w:t>https://doi.org/10.1136/bmjgh-2018-000963</w:t>
        </w:r>
      </w:hyperlink>
    </w:p>
    <w:p w14:paraId="36A251DF" w14:textId="77777777" w:rsidR="00AF3AA3" w:rsidRPr="00AF3AA3" w:rsidRDefault="00AF3AA3" w:rsidP="00AF3AA3">
      <w:pPr>
        <w:numPr>
          <w:ilvl w:val="0"/>
          <w:numId w:val="19"/>
        </w:numPr>
        <w:spacing w:after="120" w:line="240" w:lineRule="auto"/>
        <w:rPr>
          <w:rFonts w:ascii="Gotham Book" w:hAnsi="Gotham Book"/>
          <w:sz w:val="20"/>
          <w:szCs w:val="20"/>
        </w:rPr>
      </w:pPr>
      <w:proofErr w:type="spellStart"/>
      <w:r w:rsidRPr="00AF3AA3">
        <w:rPr>
          <w:rFonts w:ascii="Gotham Book" w:hAnsi="Gotham Book"/>
          <w:sz w:val="20"/>
          <w:szCs w:val="20"/>
        </w:rPr>
        <w:t>Rehfuess</w:t>
      </w:r>
      <w:proofErr w:type="spellEnd"/>
      <w:r w:rsidRPr="00AF3AA3">
        <w:rPr>
          <w:rFonts w:ascii="Gotham Book" w:hAnsi="Gotham Book"/>
          <w:sz w:val="20"/>
          <w:szCs w:val="20"/>
        </w:rPr>
        <w:t xml:space="preserve">, AE., </w:t>
      </w:r>
      <w:proofErr w:type="spellStart"/>
      <w:r w:rsidRPr="00AF3AA3">
        <w:rPr>
          <w:rFonts w:ascii="Gotham Book" w:hAnsi="Gotham Book"/>
          <w:sz w:val="20"/>
          <w:szCs w:val="20"/>
        </w:rPr>
        <w:t>Stratil</w:t>
      </w:r>
      <w:proofErr w:type="spellEnd"/>
      <w:r w:rsidRPr="00AF3AA3">
        <w:rPr>
          <w:rFonts w:ascii="Gotham Book" w:hAnsi="Gotham Book"/>
          <w:sz w:val="20"/>
          <w:szCs w:val="20"/>
        </w:rPr>
        <w:t>, JM., et al. (2019)</w:t>
      </w:r>
      <w:r w:rsidRPr="00AF3AA3">
        <w:rPr>
          <w:rFonts w:ascii="Gotham Book" w:hAnsi="Gotham Book"/>
          <w:i/>
          <w:iCs/>
          <w:sz w:val="20"/>
          <w:szCs w:val="20"/>
        </w:rPr>
        <w:t xml:space="preserve"> The WHO-INTEGRATE evidence to decision framework version 1.0: integrating WHO norms and values and a complexity perspective</w:t>
      </w:r>
      <w:r w:rsidRPr="00AF3AA3">
        <w:rPr>
          <w:rFonts w:ascii="Gotham Book" w:hAnsi="Gotham Book"/>
          <w:sz w:val="20"/>
          <w:szCs w:val="20"/>
        </w:rPr>
        <w:t xml:space="preserve">. BMJ Glob Health, Jan 25;4(Suppl 1):e000844. </w:t>
      </w:r>
      <w:proofErr w:type="spellStart"/>
      <w:r w:rsidRPr="00AF3AA3">
        <w:rPr>
          <w:rFonts w:ascii="Gotham Book" w:hAnsi="Gotham Book"/>
          <w:sz w:val="20"/>
          <w:szCs w:val="20"/>
        </w:rPr>
        <w:t>doi</w:t>
      </w:r>
      <w:proofErr w:type="spellEnd"/>
      <w:r w:rsidRPr="00AF3AA3">
        <w:rPr>
          <w:rFonts w:ascii="Gotham Book" w:hAnsi="Gotham Book"/>
          <w:sz w:val="20"/>
          <w:szCs w:val="20"/>
        </w:rPr>
        <w:t xml:space="preserve">: 10.1136/bmjgh-2018-000844. </w:t>
      </w:r>
    </w:p>
    <w:p w14:paraId="0C2B9F7F" w14:textId="77777777"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Zeng, L., </w:t>
      </w:r>
      <w:proofErr w:type="spellStart"/>
      <w:r w:rsidRPr="00AF3AA3">
        <w:rPr>
          <w:rFonts w:ascii="Gotham Book" w:hAnsi="Gotham Book"/>
          <w:sz w:val="20"/>
          <w:szCs w:val="20"/>
        </w:rPr>
        <w:t>Helsingen</w:t>
      </w:r>
      <w:proofErr w:type="spellEnd"/>
      <w:r w:rsidRPr="00AF3AA3">
        <w:rPr>
          <w:rFonts w:ascii="Gotham Book" w:hAnsi="Gotham Book"/>
          <w:sz w:val="20"/>
          <w:szCs w:val="20"/>
        </w:rPr>
        <w:t xml:space="preserve">, LM., Bretthauer, M., </w:t>
      </w:r>
      <w:proofErr w:type="spellStart"/>
      <w:r w:rsidRPr="00AF3AA3">
        <w:rPr>
          <w:rFonts w:ascii="Gotham Book" w:hAnsi="Gotham Book"/>
          <w:sz w:val="20"/>
          <w:szCs w:val="20"/>
        </w:rPr>
        <w:t>Agoritsas</w:t>
      </w:r>
      <w:proofErr w:type="spellEnd"/>
      <w:r w:rsidRPr="00AF3AA3">
        <w:rPr>
          <w:rFonts w:ascii="Gotham Book" w:hAnsi="Gotham Book"/>
          <w:sz w:val="20"/>
          <w:szCs w:val="20"/>
        </w:rPr>
        <w:t xml:space="preserve">, T., </w:t>
      </w:r>
      <w:proofErr w:type="spellStart"/>
      <w:r w:rsidRPr="00AF3AA3">
        <w:rPr>
          <w:rFonts w:ascii="Gotham Book" w:hAnsi="Gotham Book"/>
          <w:sz w:val="20"/>
          <w:szCs w:val="20"/>
        </w:rPr>
        <w:t>Vandvik</w:t>
      </w:r>
      <w:proofErr w:type="spellEnd"/>
      <w:r w:rsidRPr="00AF3AA3">
        <w:rPr>
          <w:rFonts w:ascii="Gotham Book" w:hAnsi="Gotham Book"/>
          <w:sz w:val="20"/>
          <w:szCs w:val="20"/>
        </w:rPr>
        <w:t xml:space="preserve">, PO., Mustafa, RA., et al. (2023) </w:t>
      </w:r>
      <w:r w:rsidRPr="00AF3AA3">
        <w:rPr>
          <w:rFonts w:ascii="Gotham Book" w:hAnsi="Gotham Book"/>
          <w:i/>
          <w:iCs/>
          <w:sz w:val="20"/>
          <w:szCs w:val="20"/>
        </w:rPr>
        <w:t>A novel framework for incorporating patient values and preferences in making guideline recommendations: guideline panel surveys.</w:t>
      </w:r>
      <w:r w:rsidRPr="00AF3AA3">
        <w:rPr>
          <w:rFonts w:ascii="Gotham Book" w:hAnsi="Gotham Book"/>
          <w:sz w:val="20"/>
          <w:szCs w:val="20"/>
        </w:rPr>
        <w:t xml:space="preserve"> J Clin Epidemiol, 161;164-172. </w:t>
      </w:r>
      <w:hyperlink r:id="rId45" w:history="1">
        <w:r w:rsidRPr="00AF3AA3">
          <w:rPr>
            <w:rStyle w:val="Hyperlink"/>
            <w:rFonts w:ascii="Gotham Book" w:hAnsi="Gotham Book"/>
            <w:sz w:val="20"/>
            <w:szCs w:val="20"/>
          </w:rPr>
          <w:t>https://www.jclinepi.com/article/S0895-4356(23)00175-0/fulltext</w:t>
        </w:r>
      </w:hyperlink>
    </w:p>
    <w:p w14:paraId="0092898E" w14:textId="77777777"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Zhang, Y., Li, S-A., Yepes-Nuñez, JJ., Morgan, RL., Pardo-Hernandez, H., Alonso-Coello, P., et al. (2022) </w:t>
      </w:r>
      <w:r w:rsidRPr="00AF3AA3">
        <w:rPr>
          <w:rFonts w:ascii="Gotham Book" w:hAnsi="Gotham Book"/>
          <w:i/>
          <w:iCs/>
          <w:sz w:val="20"/>
          <w:szCs w:val="20"/>
        </w:rPr>
        <w:t>GRADE summary of findings tables enhanced understanding of values and preferences evidence.</w:t>
      </w:r>
      <w:r w:rsidRPr="00AF3AA3">
        <w:rPr>
          <w:rFonts w:ascii="Gotham Book" w:hAnsi="Gotham Book"/>
          <w:sz w:val="20"/>
          <w:szCs w:val="20"/>
        </w:rPr>
        <w:t xml:space="preserve"> J Clin Epidemiol, 147:60-8. doi:10.1016/j.jclinepi.2022.03.007 </w:t>
      </w:r>
    </w:p>
    <w:p w14:paraId="10B3CBD4" w14:textId="6976D7F3"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lastRenderedPageBreak/>
        <w:t xml:space="preserve">Brunetti, M., </w:t>
      </w:r>
      <w:proofErr w:type="spellStart"/>
      <w:r w:rsidRPr="00AF3AA3">
        <w:rPr>
          <w:rFonts w:ascii="Gotham Book" w:hAnsi="Gotham Book"/>
          <w:sz w:val="20"/>
          <w:szCs w:val="20"/>
        </w:rPr>
        <w:t>Shemilt</w:t>
      </w:r>
      <w:proofErr w:type="spellEnd"/>
      <w:r w:rsidRPr="00AF3AA3">
        <w:rPr>
          <w:rFonts w:ascii="Gotham Book" w:hAnsi="Gotham Book"/>
          <w:sz w:val="20"/>
          <w:szCs w:val="20"/>
        </w:rPr>
        <w:t xml:space="preserve">, I., </w:t>
      </w:r>
      <w:proofErr w:type="spellStart"/>
      <w:r w:rsidRPr="00AF3AA3">
        <w:rPr>
          <w:rFonts w:ascii="Gotham Book" w:hAnsi="Gotham Book"/>
          <w:sz w:val="20"/>
          <w:szCs w:val="20"/>
        </w:rPr>
        <w:t>Pregno</w:t>
      </w:r>
      <w:proofErr w:type="spellEnd"/>
      <w:r w:rsidRPr="00AF3AA3">
        <w:rPr>
          <w:rFonts w:ascii="Gotham Book" w:hAnsi="Gotham Book"/>
          <w:sz w:val="20"/>
          <w:szCs w:val="20"/>
        </w:rPr>
        <w:t xml:space="preserve">, S., Vale, L., Oxman, AD., Lord, J., et al. (2013) </w:t>
      </w:r>
      <w:r w:rsidRPr="00AF3AA3">
        <w:rPr>
          <w:rFonts w:ascii="Gotham Book" w:hAnsi="Gotham Book"/>
          <w:i/>
          <w:iCs/>
          <w:sz w:val="20"/>
          <w:szCs w:val="20"/>
        </w:rPr>
        <w:t>GRADE guidelines: 10. Considering resource use and rating the quality of economic evidence.</w:t>
      </w:r>
      <w:r w:rsidRPr="00AF3AA3">
        <w:rPr>
          <w:rFonts w:ascii="Gotham Book" w:hAnsi="Gotham Book"/>
          <w:sz w:val="20"/>
          <w:szCs w:val="20"/>
        </w:rPr>
        <w:t xml:space="preserve"> J Clin Epidemiol, 66(2):140-50.</w:t>
      </w:r>
      <w:r w:rsidR="007414C3">
        <w:rPr>
          <w:rFonts w:ascii="Gotham Book" w:hAnsi="Gotham Book"/>
          <w:sz w:val="20"/>
          <w:szCs w:val="20"/>
        </w:rPr>
        <w:t xml:space="preserve"> </w:t>
      </w:r>
      <w:hyperlink r:id="rId46" w:history="1">
        <w:r w:rsidR="007414C3" w:rsidRPr="00342F87">
          <w:rPr>
            <w:rStyle w:val="Hyperlink"/>
            <w:rFonts w:ascii="Gotham Book" w:hAnsi="Gotham Book"/>
            <w:sz w:val="20"/>
            <w:szCs w:val="20"/>
          </w:rPr>
          <w:t>https://doi.org/10.1016/j.jclinepi.2012.04.01</w:t>
        </w:r>
      </w:hyperlink>
      <w:r w:rsidR="007414C3">
        <w:rPr>
          <w:rFonts w:ascii="Gotham Book" w:hAnsi="Gotham Book"/>
          <w:sz w:val="20"/>
          <w:szCs w:val="20"/>
        </w:rPr>
        <w:t xml:space="preserve"> </w:t>
      </w:r>
    </w:p>
    <w:p w14:paraId="5C9F432E" w14:textId="77777777"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Akl, EA., Welch, V., </w:t>
      </w:r>
      <w:proofErr w:type="spellStart"/>
      <w:r w:rsidRPr="00AF3AA3">
        <w:rPr>
          <w:rFonts w:ascii="Gotham Book" w:hAnsi="Gotham Book"/>
          <w:sz w:val="20"/>
          <w:szCs w:val="20"/>
        </w:rPr>
        <w:t>Pottie</w:t>
      </w:r>
      <w:proofErr w:type="spellEnd"/>
      <w:r w:rsidRPr="00AF3AA3">
        <w:rPr>
          <w:rFonts w:ascii="Gotham Book" w:hAnsi="Gotham Book"/>
          <w:sz w:val="20"/>
          <w:szCs w:val="20"/>
        </w:rPr>
        <w:t>, K., Eslava-Schmalbach, J., Darzi, A., Sola, I., et al. (2017)</w:t>
      </w:r>
      <w:r w:rsidRPr="00AF3AA3">
        <w:rPr>
          <w:rFonts w:ascii="Gotham Book" w:hAnsi="Gotham Book"/>
          <w:i/>
          <w:iCs/>
          <w:sz w:val="20"/>
          <w:szCs w:val="20"/>
        </w:rPr>
        <w:t xml:space="preserve"> GRADE Equity Guidelines 2: Considering health equity in GRADE guideline development: Equity extension of the Guideline Development Checklist</w:t>
      </w:r>
      <w:r w:rsidRPr="00AF3AA3">
        <w:rPr>
          <w:rFonts w:ascii="Gotham Book" w:hAnsi="Gotham Book"/>
          <w:sz w:val="20"/>
          <w:szCs w:val="20"/>
        </w:rPr>
        <w:t>. J Clin Epidemiol, 90;68-75. doi:10.1016/j.jclinepi.2017.01</w:t>
      </w:r>
    </w:p>
    <w:p w14:paraId="64E125C5" w14:textId="77777777"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Welch, VA., Akl, EA., </w:t>
      </w:r>
      <w:proofErr w:type="spellStart"/>
      <w:r w:rsidRPr="00AF3AA3">
        <w:rPr>
          <w:rFonts w:ascii="Gotham Book" w:hAnsi="Gotham Book"/>
          <w:sz w:val="20"/>
          <w:szCs w:val="20"/>
        </w:rPr>
        <w:t>Pottie</w:t>
      </w:r>
      <w:proofErr w:type="spellEnd"/>
      <w:r w:rsidRPr="00AF3AA3">
        <w:rPr>
          <w:rFonts w:ascii="Gotham Book" w:hAnsi="Gotham Book"/>
          <w:sz w:val="20"/>
          <w:szCs w:val="20"/>
        </w:rPr>
        <w:t xml:space="preserve">, K., Ansari, MT., Briel, M., Christensen, R., et al. (2017) </w:t>
      </w:r>
      <w:r w:rsidRPr="00AF3AA3">
        <w:rPr>
          <w:rFonts w:ascii="Gotham Book" w:hAnsi="Gotham Book"/>
          <w:i/>
          <w:iCs/>
          <w:sz w:val="20"/>
          <w:szCs w:val="20"/>
        </w:rPr>
        <w:t>GRADE equity guidelines 3: health equity considerations in rating the certainty of synthesized evidence.</w:t>
      </w:r>
      <w:r w:rsidRPr="00AF3AA3">
        <w:rPr>
          <w:rFonts w:ascii="Gotham Book" w:hAnsi="Gotham Book"/>
          <w:sz w:val="20"/>
          <w:szCs w:val="20"/>
        </w:rPr>
        <w:t xml:space="preserve"> J Clin Epidemiol, 90:76-83. doi:10.1016/j.jclinepi.2017.01.015</w:t>
      </w:r>
    </w:p>
    <w:p w14:paraId="2C72E7DC" w14:textId="46151E96"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Lewin, S.</w:t>
      </w:r>
      <w:r w:rsidR="00406FE9">
        <w:rPr>
          <w:rFonts w:ascii="Gotham Book" w:hAnsi="Gotham Book"/>
          <w:sz w:val="20"/>
          <w:szCs w:val="20"/>
        </w:rPr>
        <w:t xml:space="preserve"> and </w:t>
      </w:r>
      <w:r w:rsidRPr="00AF3AA3">
        <w:rPr>
          <w:rFonts w:ascii="Gotham Book" w:hAnsi="Gotham Book"/>
          <w:sz w:val="20"/>
          <w:szCs w:val="20"/>
        </w:rPr>
        <w:t xml:space="preserve">Glenton, C. (2018) </w:t>
      </w:r>
      <w:r w:rsidRPr="00AF3AA3">
        <w:rPr>
          <w:rFonts w:ascii="Gotham Book" w:hAnsi="Gotham Book"/>
          <w:i/>
          <w:iCs/>
          <w:sz w:val="20"/>
          <w:szCs w:val="20"/>
        </w:rPr>
        <w:t>Are we entering a new era for qualitative research? Using qualitative evidence to support guidance and guideline development by the World Health Organization.</w:t>
      </w:r>
      <w:r w:rsidRPr="00AF3AA3">
        <w:rPr>
          <w:rFonts w:ascii="Gotham Book" w:hAnsi="Gotham Book"/>
          <w:sz w:val="20"/>
          <w:szCs w:val="20"/>
        </w:rPr>
        <w:t xml:space="preserve"> International Journal for Equity in Health, 17(1):126. doi:10.1186/s12939-018-0841-x</w:t>
      </w:r>
      <w:r w:rsidR="007414C3">
        <w:rPr>
          <w:rFonts w:ascii="Gotham Book" w:hAnsi="Gotham Book"/>
          <w:sz w:val="20"/>
          <w:szCs w:val="20"/>
        </w:rPr>
        <w:t xml:space="preserve"> </w:t>
      </w:r>
    </w:p>
    <w:p w14:paraId="4F35AEF9" w14:textId="558F5BE6"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Lewin, S., Glenton, C., Lawrie, TA., Downe, S., Finlayson, KW., Rosenbaum, S., </w:t>
      </w:r>
      <w:proofErr w:type="spellStart"/>
      <w:r w:rsidRPr="00AF3AA3">
        <w:rPr>
          <w:rFonts w:ascii="Gotham Book" w:hAnsi="Gotham Book"/>
          <w:sz w:val="20"/>
          <w:szCs w:val="20"/>
        </w:rPr>
        <w:t>Barreix</w:t>
      </w:r>
      <w:proofErr w:type="spellEnd"/>
      <w:r w:rsidRPr="00AF3AA3">
        <w:rPr>
          <w:rFonts w:ascii="Gotham Book" w:hAnsi="Gotham Book"/>
          <w:sz w:val="20"/>
          <w:szCs w:val="20"/>
        </w:rPr>
        <w:t xml:space="preserve">, M., </w:t>
      </w:r>
      <w:proofErr w:type="spellStart"/>
      <w:r w:rsidRPr="00AF3AA3">
        <w:rPr>
          <w:rFonts w:ascii="Gotham Book" w:hAnsi="Gotham Book"/>
          <w:sz w:val="20"/>
          <w:szCs w:val="20"/>
        </w:rPr>
        <w:t>Tunçalp</w:t>
      </w:r>
      <w:proofErr w:type="spellEnd"/>
      <w:r w:rsidRPr="00AF3AA3">
        <w:rPr>
          <w:rFonts w:ascii="Gotham Book" w:hAnsi="Gotham Book"/>
          <w:sz w:val="20"/>
          <w:szCs w:val="20"/>
        </w:rPr>
        <w:t xml:space="preserve">, Ö. (2019) </w:t>
      </w:r>
      <w:r w:rsidRPr="00AF3AA3">
        <w:rPr>
          <w:rFonts w:ascii="Gotham Book" w:hAnsi="Gotham Book"/>
          <w:i/>
          <w:iCs/>
          <w:sz w:val="20"/>
          <w:szCs w:val="20"/>
        </w:rPr>
        <w:t>Qualitative Evidence Synthesis (QES) for Guidelines: Paper 2 - Using qualitative evidence synthesis findings to inform evidence-to-decision frameworks and recommendations.</w:t>
      </w:r>
      <w:r w:rsidRPr="00AF3AA3">
        <w:rPr>
          <w:rFonts w:ascii="Gotham Book" w:hAnsi="Gotham Book"/>
          <w:sz w:val="20"/>
          <w:szCs w:val="20"/>
        </w:rPr>
        <w:t xml:space="preserve"> Health Res Policy Syst, 17:75.</w:t>
      </w:r>
      <w:r w:rsidR="00566BC3">
        <w:rPr>
          <w:rFonts w:ascii="Gotham Book" w:hAnsi="Gotham Book"/>
          <w:sz w:val="20"/>
          <w:szCs w:val="20"/>
        </w:rPr>
        <w:t xml:space="preserve"> </w:t>
      </w:r>
      <w:hyperlink r:id="rId47" w:history="1">
        <w:r w:rsidR="00566BC3" w:rsidRPr="00342F87">
          <w:rPr>
            <w:rStyle w:val="Hyperlink"/>
            <w:rFonts w:ascii="Gotham Book" w:hAnsi="Gotham Book"/>
            <w:sz w:val="20"/>
            <w:szCs w:val="20"/>
          </w:rPr>
          <w:t>https://doi.org/10.1186/s12961-019-0468-4</w:t>
        </w:r>
      </w:hyperlink>
      <w:r w:rsidR="00566BC3">
        <w:rPr>
          <w:rFonts w:ascii="Gotham Book" w:hAnsi="Gotham Book"/>
          <w:sz w:val="20"/>
          <w:szCs w:val="20"/>
        </w:rPr>
        <w:t xml:space="preserve"> </w:t>
      </w:r>
    </w:p>
    <w:p w14:paraId="59866E4E" w14:textId="35A8F102"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Glenton, C., Lewin, S., Lawrie, TA., </w:t>
      </w:r>
      <w:proofErr w:type="spellStart"/>
      <w:r w:rsidRPr="00AF3AA3">
        <w:rPr>
          <w:rFonts w:ascii="Gotham Book" w:hAnsi="Gotham Book"/>
          <w:sz w:val="20"/>
          <w:szCs w:val="20"/>
        </w:rPr>
        <w:t>Barreix</w:t>
      </w:r>
      <w:proofErr w:type="spellEnd"/>
      <w:r w:rsidRPr="00AF3AA3">
        <w:rPr>
          <w:rFonts w:ascii="Gotham Book" w:hAnsi="Gotham Book"/>
          <w:sz w:val="20"/>
          <w:szCs w:val="20"/>
        </w:rPr>
        <w:t xml:space="preserve">, M., Downe, S., Finlayson, KW., Tamrat, T., Rosenbaum, S., </w:t>
      </w:r>
      <w:proofErr w:type="spellStart"/>
      <w:r w:rsidRPr="00AF3AA3">
        <w:rPr>
          <w:rFonts w:ascii="Gotham Book" w:hAnsi="Gotham Book"/>
          <w:sz w:val="20"/>
          <w:szCs w:val="20"/>
        </w:rPr>
        <w:t>Tuncalp</w:t>
      </w:r>
      <w:proofErr w:type="spellEnd"/>
      <w:r w:rsidRPr="00AF3AA3">
        <w:rPr>
          <w:rFonts w:ascii="Gotham Book" w:hAnsi="Gotham Book"/>
          <w:sz w:val="20"/>
          <w:szCs w:val="20"/>
        </w:rPr>
        <w:t xml:space="preserve">, Ö. (2019) </w:t>
      </w:r>
      <w:r w:rsidRPr="00AF3AA3">
        <w:rPr>
          <w:rFonts w:ascii="Gotham Book" w:hAnsi="Gotham Book"/>
          <w:i/>
          <w:iCs/>
          <w:sz w:val="20"/>
          <w:szCs w:val="20"/>
        </w:rPr>
        <w:t>Qualitative Evidence Synthesis (QES) for Guidelines: Paper 3 - Using qualitative evidence syntheses to develop implementation considerations and inform implementation processes.</w:t>
      </w:r>
      <w:r w:rsidRPr="00AF3AA3">
        <w:rPr>
          <w:rFonts w:ascii="Gotham Book" w:hAnsi="Gotham Book"/>
          <w:sz w:val="20"/>
          <w:szCs w:val="20"/>
        </w:rPr>
        <w:t xml:space="preserve"> Health Res Policy Syst, 17:74.</w:t>
      </w:r>
      <w:r w:rsidR="00DE6ACB">
        <w:rPr>
          <w:rFonts w:ascii="Gotham Book" w:hAnsi="Gotham Book"/>
          <w:sz w:val="20"/>
          <w:szCs w:val="20"/>
        </w:rPr>
        <w:t xml:space="preserve"> </w:t>
      </w:r>
      <w:hyperlink r:id="rId48" w:history="1">
        <w:r w:rsidR="00DE6ACB" w:rsidRPr="00342F87">
          <w:rPr>
            <w:rStyle w:val="Hyperlink"/>
            <w:rFonts w:ascii="Gotham Book" w:hAnsi="Gotham Book"/>
            <w:sz w:val="20"/>
            <w:szCs w:val="20"/>
          </w:rPr>
          <w:t>https://doi.org/10.1186/s12961-019-0450-1</w:t>
        </w:r>
      </w:hyperlink>
      <w:r w:rsidR="00DE6ACB">
        <w:rPr>
          <w:rFonts w:ascii="Gotham Book" w:hAnsi="Gotham Book"/>
          <w:sz w:val="20"/>
          <w:szCs w:val="20"/>
        </w:rPr>
        <w:t xml:space="preserve"> </w:t>
      </w:r>
    </w:p>
    <w:p w14:paraId="15429D1A" w14:textId="13D7E8C7"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Lin, JS., Webber, EM., Bean, SI., Evans, CV. (2024) </w:t>
      </w:r>
      <w:r w:rsidRPr="00AF3AA3">
        <w:rPr>
          <w:rFonts w:ascii="Gotham Book" w:hAnsi="Gotham Book"/>
          <w:i/>
          <w:iCs/>
          <w:sz w:val="20"/>
          <w:szCs w:val="20"/>
        </w:rPr>
        <w:t>Development of a Health Equity Framework for the US Preventive Services Task Force.</w:t>
      </w:r>
      <w:r w:rsidRPr="00AF3AA3">
        <w:rPr>
          <w:rFonts w:ascii="Gotham Book" w:hAnsi="Gotham Book"/>
          <w:sz w:val="20"/>
          <w:szCs w:val="20"/>
        </w:rPr>
        <w:t xml:space="preserve"> JAMA </w:t>
      </w:r>
      <w:proofErr w:type="spellStart"/>
      <w:r w:rsidRPr="00AF3AA3">
        <w:rPr>
          <w:rFonts w:ascii="Gotham Book" w:hAnsi="Gotham Book"/>
          <w:sz w:val="20"/>
          <w:szCs w:val="20"/>
        </w:rPr>
        <w:t>Netw</w:t>
      </w:r>
      <w:proofErr w:type="spellEnd"/>
      <w:r w:rsidRPr="00AF3AA3">
        <w:rPr>
          <w:rFonts w:ascii="Gotham Book" w:hAnsi="Gotham Book"/>
          <w:sz w:val="20"/>
          <w:szCs w:val="20"/>
        </w:rPr>
        <w:t xml:space="preserve"> Open, 7:e241875.</w:t>
      </w:r>
      <w:r w:rsidR="00C76815">
        <w:rPr>
          <w:rFonts w:ascii="Gotham Book" w:hAnsi="Gotham Book"/>
          <w:sz w:val="20"/>
          <w:szCs w:val="20"/>
        </w:rPr>
        <w:t xml:space="preserve"> </w:t>
      </w:r>
      <w:proofErr w:type="spellStart"/>
      <w:r w:rsidR="00C76815" w:rsidRPr="00C76815">
        <w:rPr>
          <w:rFonts w:ascii="Gotham Book" w:hAnsi="Gotham Book"/>
          <w:sz w:val="20"/>
          <w:szCs w:val="20"/>
        </w:rPr>
        <w:t>doi</w:t>
      </w:r>
      <w:proofErr w:type="spellEnd"/>
      <w:r w:rsidR="00C76815" w:rsidRPr="00C76815">
        <w:rPr>
          <w:rFonts w:ascii="Gotham Book" w:hAnsi="Gotham Book"/>
          <w:sz w:val="20"/>
          <w:szCs w:val="20"/>
        </w:rPr>
        <w:t>: 10.1001/jamanetworkopen.2024.1875.</w:t>
      </w:r>
      <w:r w:rsidR="00C76815">
        <w:rPr>
          <w:rFonts w:ascii="Gotham Book" w:hAnsi="Gotham Book"/>
          <w:sz w:val="20"/>
          <w:szCs w:val="20"/>
        </w:rPr>
        <w:t xml:space="preserve"> </w:t>
      </w:r>
    </w:p>
    <w:p w14:paraId="37919E1A" w14:textId="33226CF4" w:rsidR="00AF3AA3" w:rsidRPr="00AF3AA3" w:rsidRDefault="00AF3AA3" w:rsidP="00AF3AA3">
      <w:pPr>
        <w:numPr>
          <w:ilvl w:val="0"/>
          <w:numId w:val="19"/>
        </w:numPr>
        <w:spacing w:after="120" w:line="240" w:lineRule="auto"/>
        <w:rPr>
          <w:rFonts w:ascii="Gotham Book" w:hAnsi="Gotham Book"/>
          <w:sz w:val="20"/>
          <w:szCs w:val="20"/>
        </w:rPr>
      </w:pPr>
      <w:proofErr w:type="spellStart"/>
      <w:r w:rsidRPr="00AF3AA3">
        <w:rPr>
          <w:rFonts w:ascii="Gotham Book" w:hAnsi="Gotham Book"/>
          <w:sz w:val="20"/>
          <w:szCs w:val="20"/>
        </w:rPr>
        <w:t>Pottie</w:t>
      </w:r>
      <w:proofErr w:type="spellEnd"/>
      <w:r w:rsidRPr="00AF3AA3">
        <w:rPr>
          <w:rFonts w:ascii="Gotham Book" w:hAnsi="Gotham Book"/>
          <w:sz w:val="20"/>
          <w:szCs w:val="20"/>
        </w:rPr>
        <w:t xml:space="preserve">, K., Welch, V., Morton, R., Akl, EA., Eslava-Schmalbach, JH., </w:t>
      </w:r>
      <w:proofErr w:type="spellStart"/>
      <w:r w:rsidRPr="00AF3AA3">
        <w:rPr>
          <w:rFonts w:ascii="Gotham Book" w:hAnsi="Gotham Book"/>
          <w:sz w:val="20"/>
          <w:szCs w:val="20"/>
        </w:rPr>
        <w:t>Katikireddi</w:t>
      </w:r>
      <w:proofErr w:type="spellEnd"/>
      <w:r w:rsidRPr="00AF3AA3">
        <w:rPr>
          <w:rFonts w:ascii="Gotham Book" w:hAnsi="Gotham Book"/>
          <w:sz w:val="20"/>
          <w:szCs w:val="20"/>
        </w:rPr>
        <w:t xml:space="preserve">, V., et al. (2017) </w:t>
      </w:r>
      <w:r w:rsidRPr="00AF3AA3">
        <w:rPr>
          <w:rFonts w:ascii="Gotham Book" w:hAnsi="Gotham Book"/>
          <w:i/>
          <w:iCs/>
          <w:sz w:val="20"/>
          <w:szCs w:val="20"/>
        </w:rPr>
        <w:t>GRADE equity guidelines 4: considering health equity in GRADE guideline development: evidence to decision process.</w:t>
      </w:r>
      <w:r w:rsidRPr="00AF3AA3">
        <w:rPr>
          <w:rFonts w:ascii="Gotham Book" w:hAnsi="Gotham Book"/>
          <w:sz w:val="20"/>
          <w:szCs w:val="20"/>
        </w:rPr>
        <w:t xml:space="preserve"> J Clin Epidemiol, 90:84-91.</w:t>
      </w:r>
      <w:r w:rsidR="000C36BE">
        <w:rPr>
          <w:rFonts w:ascii="Gotham Book" w:hAnsi="Gotham Book"/>
          <w:sz w:val="20"/>
          <w:szCs w:val="20"/>
        </w:rPr>
        <w:t xml:space="preserve"> </w:t>
      </w:r>
      <w:proofErr w:type="spellStart"/>
      <w:r w:rsidR="000C36BE" w:rsidRPr="000C36BE">
        <w:rPr>
          <w:rFonts w:ascii="Gotham Book" w:hAnsi="Gotham Book"/>
          <w:sz w:val="20"/>
          <w:szCs w:val="20"/>
        </w:rPr>
        <w:t>doi</w:t>
      </w:r>
      <w:proofErr w:type="spellEnd"/>
      <w:r w:rsidR="000C36BE" w:rsidRPr="000C36BE">
        <w:rPr>
          <w:rFonts w:ascii="Gotham Book" w:hAnsi="Gotham Book"/>
          <w:sz w:val="20"/>
          <w:szCs w:val="20"/>
        </w:rPr>
        <w:t>: 10.1016/j.jclinepi.2017.08.001.</w:t>
      </w:r>
      <w:r w:rsidR="000C36BE">
        <w:rPr>
          <w:rFonts w:ascii="Gotham Book" w:hAnsi="Gotham Book"/>
          <w:sz w:val="20"/>
          <w:szCs w:val="20"/>
        </w:rPr>
        <w:t xml:space="preserve"> </w:t>
      </w:r>
    </w:p>
    <w:p w14:paraId="686B1300" w14:textId="563AB7A1"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Barnabe</w:t>
      </w:r>
      <w:r w:rsidR="00CE3301">
        <w:rPr>
          <w:rFonts w:ascii="Gotham Book" w:hAnsi="Gotham Book"/>
          <w:sz w:val="20"/>
          <w:szCs w:val="20"/>
        </w:rPr>
        <w:t>,</w:t>
      </w:r>
      <w:r w:rsidRPr="00AF3AA3">
        <w:rPr>
          <w:rFonts w:ascii="Gotham Book" w:hAnsi="Gotham Book"/>
          <w:sz w:val="20"/>
          <w:szCs w:val="20"/>
        </w:rPr>
        <w:t xml:space="preserve"> C</w:t>
      </w:r>
      <w:r w:rsidR="00CE3301">
        <w:rPr>
          <w:rFonts w:ascii="Gotham Book" w:hAnsi="Gotham Book"/>
          <w:sz w:val="20"/>
          <w:szCs w:val="20"/>
        </w:rPr>
        <w:t>.</w:t>
      </w:r>
      <w:r w:rsidRPr="00AF3AA3">
        <w:rPr>
          <w:rFonts w:ascii="Gotham Book" w:hAnsi="Gotham Book"/>
          <w:sz w:val="20"/>
          <w:szCs w:val="20"/>
        </w:rPr>
        <w:t xml:space="preserve">, </w:t>
      </w:r>
      <w:proofErr w:type="spellStart"/>
      <w:r w:rsidRPr="00AF3AA3">
        <w:rPr>
          <w:rFonts w:ascii="Gotham Book" w:hAnsi="Gotham Book"/>
          <w:sz w:val="20"/>
          <w:szCs w:val="20"/>
        </w:rPr>
        <w:t>Pianarosa</w:t>
      </w:r>
      <w:proofErr w:type="spellEnd"/>
      <w:r w:rsidR="00CE3301">
        <w:rPr>
          <w:rFonts w:ascii="Gotham Book" w:hAnsi="Gotham Book"/>
          <w:sz w:val="20"/>
          <w:szCs w:val="20"/>
        </w:rPr>
        <w:t>,</w:t>
      </w:r>
      <w:r w:rsidRPr="00AF3AA3">
        <w:rPr>
          <w:rFonts w:ascii="Gotham Book" w:hAnsi="Gotham Book"/>
          <w:sz w:val="20"/>
          <w:szCs w:val="20"/>
        </w:rPr>
        <w:t xml:space="preserve"> E</w:t>
      </w:r>
      <w:r w:rsidR="00CE3301">
        <w:rPr>
          <w:rFonts w:ascii="Gotham Book" w:hAnsi="Gotham Book"/>
          <w:sz w:val="20"/>
          <w:szCs w:val="20"/>
        </w:rPr>
        <w:t>.</w:t>
      </w:r>
      <w:r w:rsidRPr="00AF3AA3">
        <w:rPr>
          <w:rFonts w:ascii="Gotham Book" w:hAnsi="Gotham Book"/>
          <w:sz w:val="20"/>
          <w:szCs w:val="20"/>
        </w:rPr>
        <w:t>, Hazlewood</w:t>
      </w:r>
      <w:r w:rsidR="00CE3301">
        <w:rPr>
          <w:rFonts w:ascii="Gotham Book" w:hAnsi="Gotham Book"/>
          <w:sz w:val="20"/>
          <w:szCs w:val="20"/>
        </w:rPr>
        <w:t>,</w:t>
      </w:r>
      <w:r w:rsidRPr="00AF3AA3">
        <w:rPr>
          <w:rFonts w:ascii="Gotham Book" w:hAnsi="Gotham Book"/>
          <w:sz w:val="20"/>
          <w:szCs w:val="20"/>
        </w:rPr>
        <w:t xml:space="preserve"> G. (2021) </w:t>
      </w:r>
      <w:r w:rsidRPr="00AF3AA3">
        <w:rPr>
          <w:rFonts w:ascii="Gotham Book" w:hAnsi="Gotham Book"/>
          <w:i/>
          <w:iCs/>
          <w:sz w:val="20"/>
          <w:szCs w:val="20"/>
        </w:rPr>
        <w:t>Informing the GRADE evidence to decision process with health equity considerations: demonstration from the Canadian rheumatoid arthritis care context.</w:t>
      </w:r>
      <w:r w:rsidRPr="00AF3AA3">
        <w:rPr>
          <w:rFonts w:ascii="Gotham Book" w:hAnsi="Gotham Book"/>
          <w:sz w:val="20"/>
          <w:szCs w:val="20"/>
        </w:rPr>
        <w:t xml:space="preserve"> J Clin Epidemiol, 138:147-55.</w:t>
      </w:r>
      <w:r w:rsidR="008A27B7">
        <w:rPr>
          <w:rFonts w:ascii="Gotham Book" w:hAnsi="Gotham Book"/>
          <w:sz w:val="20"/>
          <w:szCs w:val="20"/>
        </w:rPr>
        <w:t xml:space="preserve"> </w:t>
      </w:r>
      <w:hyperlink r:id="rId49" w:history="1">
        <w:r w:rsidR="008A27B7" w:rsidRPr="00342F87">
          <w:rPr>
            <w:rStyle w:val="Hyperlink"/>
            <w:rFonts w:ascii="Gotham Book" w:hAnsi="Gotham Book"/>
            <w:sz w:val="20"/>
            <w:szCs w:val="20"/>
          </w:rPr>
          <w:t>https://doi.org/10.1016/j.jclinepi.2021.06.013</w:t>
        </w:r>
      </w:hyperlink>
      <w:r w:rsidR="008A27B7">
        <w:rPr>
          <w:rFonts w:ascii="Gotham Book" w:hAnsi="Gotham Book"/>
          <w:sz w:val="20"/>
          <w:szCs w:val="20"/>
        </w:rPr>
        <w:t xml:space="preserve"> </w:t>
      </w:r>
    </w:p>
    <w:p w14:paraId="6EC4D2BF" w14:textId="6049FEB9" w:rsidR="00AF3AA3" w:rsidRPr="00AF3AA3" w:rsidRDefault="00AF3AA3" w:rsidP="00AF3AA3">
      <w:pPr>
        <w:numPr>
          <w:ilvl w:val="0"/>
          <w:numId w:val="19"/>
        </w:numPr>
        <w:spacing w:after="120" w:line="240" w:lineRule="auto"/>
        <w:rPr>
          <w:rFonts w:ascii="Gotham Book" w:hAnsi="Gotham Book"/>
          <w:sz w:val="20"/>
          <w:szCs w:val="20"/>
        </w:rPr>
      </w:pPr>
      <w:proofErr w:type="spellStart"/>
      <w:r w:rsidRPr="00AF3AA3">
        <w:rPr>
          <w:rFonts w:ascii="Gotham Book" w:hAnsi="Gotham Book"/>
          <w:sz w:val="20"/>
          <w:szCs w:val="20"/>
        </w:rPr>
        <w:t>Schünemann</w:t>
      </w:r>
      <w:proofErr w:type="spellEnd"/>
      <w:r w:rsidRPr="00AF3AA3">
        <w:rPr>
          <w:rFonts w:ascii="Gotham Book" w:hAnsi="Gotham Book"/>
          <w:sz w:val="20"/>
          <w:szCs w:val="20"/>
        </w:rPr>
        <w:t xml:space="preserve">, HJ., Zhang, Y., Oxman, AD. (2019) </w:t>
      </w:r>
      <w:r w:rsidRPr="00AF3AA3">
        <w:rPr>
          <w:rFonts w:ascii="Gotham Book" w:hAnsi="Gotham Book"/>
          <w:i/>
          <w:iCs/>
          <w:sz w:val="20"/>
          <w:szCs w:val="20"/>
        </w:rPr>
        <w:t>Distinguishing opinion from evidence in guidelines.</w:t>
      </w:r>
      <w:r w:rsidRPr="00AF3AA3">
        <w:rPr>
          <w:rFonts w:ascii="Gotham Book" w:hAnsi="Gotham Book"/>
          <w:sz w:val="20"/>
          <w:szCs w:val="20"/>
        </w:rPr>
        <w:t xml:space="preserve"> BMJ, 366:l4606.</w:t>
      </w:r>
      <w:r w:rsidR="00D46AF1">
        <w:rPr>
          <w:rFonts w:ascii="Gotham Book" w:hAnsi="Gotham Book"/>
          <w:sz w:val="20"/>
          <w:szCs w:val="20"/>
        </w:rPr>
        <w:t xml:space="preserve"> </w:t>
      </w:r>
      <w:hyperlink r:id="rId50" w:history="1">
        <w:r w:rsidR="00D46AF1" w:rsidRPr="00D46AF1">
          <w:rPr>
            <w:rStyle w:val="Hyperlink"/>
            <w:rFonts w:ascii="Gotham Book" w:hAnsi="Gotham Book"/>
            <w:sz w:val="20"/>
            <w:szCs w:val="20"/>
          </w:rPr>
          <w:t>https://doi.org/10.1136/bmj.l4606</w:t>
        </w:r>
      </w:hyperlink>
    </w:p>
    <w:p w14:paraId="0FD5CADF" w14:textId="5B729C92"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Mustafa, RA., Garcia, CAC., Bhatt, M., Riva, JJ., Vesely, S., Wiercioch, W., et al. (2021) </w:t>
      </w:r>
      <w:r w:rsidRPr="00AF3AA3">
        <w:rPr>
          <w:rFonts w:ascii="Gotham Book" w:hAnsi="Gotham Book"/>
          <w:i/>
          <w:iCs/>
          <w:sz w:val="20"/>
          <w:szCs w:val="20"/>
        </w:rPr>
        <w:t>GRADE notes: How to use GRADE when there is "no" evidence? A case study of the expert evidence approach.</w:t>
      </w:r>
      <w:r w:rsidRPr="00AF3AA3">
        <w:rPr>
          <w:rFonts w:ascii="Gotham Book" w:hAnsi="Gotham Book"/>
          <w:sz w:val="20"/>
          <w:szCs w:val="20"/>
        </w:rPr>
        <w:t xml:space="preserve"> J Clin Epidemiol, 137:231-5.</w:t>
      </w:r>
      <w:r w:rsidR="00742F84">
        <w:rPr>
          <w:rFonts w:ascii="Gotham Book" w:hAnsi="Gotham Book"/>
          <w:sz w:val="20"/>
          <w:szCs w:val="20"/>
        </w:rPr>
        <w:t xml:space="preserve"> </w:t>
      </w:r>
      <w:r w:rsidR="00742F84" w:rsidRPr="00742F84">
        <w:rPr>
          <w:rFonts w:ascii="Gotham Book" w:hAnsi="Gotham Book"/>
          <w:sz w:val="20"/>
          <w:szCs w:val="20"/>
        </w:rPr>
        <w:t>doi:10.1016/j.jclinepi.2021.02.026. </w:t>
      </w:r>
    </w:p>
    <w:p w14:paraId="17D48CA1" w14:textId="77777777"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World Health Organisation (2014) </w:t>
      </w:r>
      <w:r w:rsidRPr="00AF3AA3">
        <w:rPr>
          <w:rFonts w:ascii="Gotham Book" w:hAnsi="Gotham Book"/>
          <w:i/>
          <w:iCs/>
          <w:sz w:val="20"/>
          <w:szCs w:val="20"/>
        </w:rPr>
        <w:t>WHO handbook for guideline development, 2nd Ed</w:t>
      </w:r>
      <w:r w:rsidRPr="00AF3AA3">
        <w:rPr>
          <w:rFonts w:ascii="Gotham Book" w:hAnsi="Gotham Book"/>
          <w:sz w:val="20"/>
          <w:szCs w:val="20"/>
        </w:rPr>
        <w:t xml:space="preserve">, </w:t>
      </w:r>
      <w:r w:rsidRPr="00AF3AA3">
        <w:rPr>
          <w:rFonts w:ascii="Gotham Book" w:hAnsi="Gotham Book"/>
          <w:i/>
          <w:iCs/>
          <w:sz w:val="20"/>
          <w:szCs w:val="20"/>
        </w:rPr>
        <w:t xml:space="preserve">16: Decision-making for guideline development at WHO. </w:t>
      </w:r>
      <w:hyperlink r:id="rId51" w:history="1">
        <w:r w:rsidRPr="00AF3AA3">
          <w:rPr>
            <w:rStyle w:val="Hyperlink"/>
            <w:rFonts w:ascii="Gotham Book" w:hAnsi="Gotham Book"/>
            <w:sz w:val="20"/>
            <w:szCs w:val="20"/>
          </w:rPr>
          <w:t>https://iris.who.int/handle/10665/145714</w:t>
        </w:r>
      </w:hyperlink>
    </w:p>
    <w:p w14:paraId="5023B821" w14:textId="40663C39" w:rsidR="00AF3AA3" w:rsidRPr="00AF3AA3" w:rsidRDefault="00AF3AA3" w:rsidP="00AF3AA3">
      <w:pPr>
        <w:numPr>
          <w:ilvl w:val="0"/>
          <w:numId w:val="19"/>
        </w:numPr>
        <w:spacing w:after="120" w:line="240" w:lineRule="auto"/>
        <w:rPr>
          <w:rFonts w:ascii="Gotham Book" w:hAnsi="Gotham Book"/>
          <w:sz w:val="20"/>
          <w:szCs w:val="20"/>
        </w:rPr>
      </w:pPr>
      <w:proofErr w:type="spellStart"/>
      <w:r w:rsidRPr="00AF3AA3">
        <w:rPr>
          <w:rFonts w:ascii="Gotham Book" w:hAnsi="Gotham Book"/>
          <w:sz w:val="20"/>
          <w:szCs w:val="20"/>
        </w:rPr>
        <w:lastRenderedPageBreak/>
        <w:t>Santesso</w:t>
      </w:r>
      <w:proofErr w:type="spellEnd"/>
      <w:r w:rsidRPr="00AF3AA3">
        <w:rPr>
          <w:rFonts w:ascii="Gotham Book" w:hAnsi="Gotham Book"/>
          <w:sz w:val="20"/>
          <w:szCs w:val="20"/>
        </w:rPr>
        <w:t xml:space="preserve">, N., Glenton, C., Dahm, P., Garner, P., Akl, EA., Alper, B., et al. (2020) </w:t>
      </w:r>
      <w:r w:rsidRPr="00AF3AA3">
        <w:rPr>
          <w:rFonts w:ascii="Gotham Book" w:hAnsi="Gotham Book"/>
          <w:i/>
          <w:iCs/>
          <w:sz w:val="20"/>
          <w:szCs w:val="20"/>
        </w:rPr>
        <w:t>GRADE guidelines 26: informative statements to communicate the findings of systematic reviews of interventions.</w:t>
      </w:r>
      <w:r w:rsidRPr="00AF3AA3">
        <w:rPr>
          <w:rFonts w:ascii="Gotham Book" w:hAnsi="Gotham Book"/>
          <w:sz w:val="20"/>
          <w:szCs w:val="20"/>
        </w:rPr>
        <w:t xml:space="preserve"> J Clin Epidemiol, 119:126-35.</w:t>
      </w:r>
      <w:r w:rsidR="008C6CD7">
        <w:rPr>
          <w:rFonts w:ascii="Gotham Book" w:hAnsi="Gotham Book"/>
          <w:sz w:val="20"/>
          <w:szCs w:val="20"/>
        </w:rPr>
        <w:t xml:space="preserve"> </w:t>
      </w:r>
      <w:r w:rsidR="008C6CD7" w:rsidRPr="008C6CD7">
        <w:rPr>
          <w:rFonts w:ascii="Gotham Book" w:hAnsi="Gotham Book"/>
          <w:sz w:val="20"/>
          <w:szCs w:val="20"/>
        </w:rPr>
        <w:t>doi:10.1016/j.jclinepi.2019.10.014.</w:t>
      </w:r>
      <w:r w:rsidR="008C6CD7">
        <w:rPr>
          <w:rFonts w:ascii="Gotham Book" w:hAnsi="Gotham Book"/>
          <w:sz w:val="20"/>
          <w:szCs w:val="20"/>
        </w:rPr>
        <w:t xml:space="preserve"> </w:t>
      </w:r>
    </w:p>
    <w:p w14:paraId="055BBA4F" w14:textId="7C71D756" w:rsidR="00AF3AA3" w:rsidRPr="00AF3AA3" w:rsidRDefault="00AF3AA3" w:rsidP="00AF3AA3">
      <w:pPr>
        <w:numPr>
          <w:ilvl w:val="0"/>
          <w:numId w:val="19"/>
        </w:numPr>
        <w:spacing w:after="120" w:line="240" w:lineRule="auto"/>
        <w:rPr>
          <w:rFonts w:ascii="Gotham Book" w:hAnsi="Gotham Book"/>
          <w:sz w:val="20"/>
          <w:szCs w:val="20"/>
        </w:rPr>
      </w:pPr>
      <w:proofErr w:type="spellStart"/>
      <w:r w:rsidRPr="00AF3AA3">
        <w:rPr>
          <w:rFonts w:ascii="Gotham Book" w:hAnsi="Gotham Book"/>
          <w:sz w:val="20"/>
          <w:szCs w:val="20"/>
        </w:rPr>
        <w:t>Schünemann</w:t>
      </w:r>
      <w:proofErr w:type="spellEnd"/>
      <w:r w:rsidRPr="00AF3AA3">
        <w:rPr>
          <w:rFonts w:ascii="Gotham Book" w:hAnsi="Gotham Book"/>
          <w:sz w:val="20"/>
          <w:szCs w:val="20"/>
        </w:rPr>
        <w:t xml:space="preserve">, HJ., Neumann, I., </w:t>
      </w:r>
      <w:proofErr w:type="spellStart"/>
      <w:r w:rsidRPr="00AF3AA3">
        <w:rPr>
          <w:rFonts w:ascii="Gotham Book" w:hAnsi="Gotham Book"/>
          <w:sz w:val="20"/>
          <w:szCs w:val="20"/>
        </w:rPr>
        <w:t>Hultcrantz</w:t>
      </w:r>
      <w:proofErr w:type="spellEnd"/>
      <w:r w:rsidRPr="00AF3AA3">
        <w:rPr>
          <w:rFonts w:ascii="Gotham Book" w:hAnsi="Gotham Book"/>
          <w:sz w:val="20"/>
          <w:szCs w:val="20"/>
        </w:rPr>
        <w:t xml:space="preserve">, M., </w:t>
      </w:r>
      <w:proofErr w:type="spellStart"/>
      <w:r w:rsidRPr="00AF3AA3">
        <w:rPr>
          <w:rFonts w:ascii="Gotham Book" w:hAnsi="Gotham Book"/>
          <w:sz w:val="20"/>
          <w:szCs w:val="20"/>
        </w:rPr>
        <w:t>Brignardello</w:t>
      </w:r>
      <w:proofErr w:type="spellEnd"/>
      <w:r w:rsidRPr="00AF3AA3">
        <w:rPr>
          <w:rFonts w:ascii="Gotham Book" w:hAnsi="Gotham Book"/>
          <w:sz w:val="20"/>
          <w:szCs w:val="20"/>
        </w:rPr>
        <w:t xml:space="preserve">-Petersen, R., Zeng, L., Murad, MH., et al. (2022) </w:t>
      </w:r>
      <w:r w:rsidRPr="00AF3AA3">
        <w:rPr>
          <w:rFonts w:ascii="Gotham Book" w:hAnsi="Gotham Book"/>
          <w:i/>
          <w:iCs/>
          <w:sz w:val="20"/>
          <w:szCs w:val="20"/>
        </w:rPr>
        <w:t>GRADE guidance 35: update on rating imprecision for assessing contextualized certainty of evidence and making decisions.</w:t>
      </w:r>
      <w:r w:rsidRPr="00AF3AA3">
        <w:rPr>
          <w:rFonts w:ascii="Gotham Book" w:hAnsi="Gotham Book"/>
          <w:sz w:val="20"/>
          <w:szCs w:val="20"/>
        </w:rPr>
        <w:t xml:space="preserve"> J Clin Epidemiol, 150:225-42.</w:t>
      </w:r>
      <w:r w:rsidR="00E1761F">
        <w:rPr>
          <w:rFonts w:ascii="Gotham Book" w:hAnsi="Gotham Book"/>
          <w:sz w:val="20"/>
          <w:szCs w:val="20"/>
        </w:rPr>
        <w:t xml:space="preserve"> </w:t>
      </w:r>
      <w:r w:rsidR="00E1761F" w:rsidRPr="00E1761F">
        <w:rPr>
          <w:rFonts w:ascii="Gotham Book" w:hAnsi="Gotham Book"/>
          <w:sz w:val="20"/>
          <w:szCs w:val="20"/>
        </w:rPr>
        <w:t>doi:10.1016/j.jclinepi.2022.07.015.</w:t>
      </w:r>
    </w:p>
    <w:p w14:paraId="2B0726E4" w14:textId="01E52BDF"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Xie, F., </w:t>
      </w:r>
      <w:proofErr w:type="spellStart"/>
      <w:r w:rsidRPr="00AF3AA3">
        <w:rPr>
          <w:rFonts w:ascii="Gotham Book" w:hAnsi="Gotham Book"/>
          <w:sz w:val="20"/>
          <w:szCs w:val="20"/>
        </w:rPr>
        <w:t>Shemilt</w:t>
      </w:r>
      <w:proofErr w:type="spellEnd"/>
      <w:r w:rsidRPr="00AF3AA3">
        <w:rPr>
          <w:rFonts w:ascii="Gotham Book" w:hAnsi="Gotham Book"/>
          <w:sz w:val="20"/>
          <w:szCs w:val="20"/>
        </w:rPr>
        <w:t xml:space="preserve">, I., Vale, L., Ruiz, F., Drummond, MF., Lord, J., et al. (2023) </w:t>
      </w:r>
      <w:r w:rsidRPr="00AF3AA3">
        <w:rPr>
          <w:rFonts w:ascii="Gotham Book" w:hAnsi="Gotham Book"/>
          <w:i/>
          <w:iCs/>
          <w:sz w:val="20"/>
          <w:szCs w:val="20"/>
        </w:rPr>
        <w:t>GRADE guidance 23: considering cost-effectiveness evidence in moving from evidence to health-related recommendations.</w:t>
      </w:r>
      <w:r w:rsidRPr="00AF3AA3">
        <w:rPr>
          <w:rFonts w:ascii="Gotham Book" w:hAnsi="Gotham Book"/>
          <w:sz w:val="20"/>
          <w:szCs w:val="20"/>
        </w:rPr>
        <w:t xml:space="preserve"> J Clin Epidemiol, 162:135-44.</w:t>
      </w:r>
      <w:r w:rsidR="00D45899">
        <w:rPr>
          <w:rFonts w:ascii="Gotham Book" w:hAnsi="Gotham Book"/>
          <w:sz w:val="20"/>
          <w:szCs w:val="20"/>
        </w:rPr>
        <w:t xml:space="preserve"> </w:t>
      </w:r>
      <w:r w:rsidR="00D45899" w:rsidRPr="00D45899">
        <w:rPr>
          <w:rFonts w:ascii="Gotham Book" w:hAnsi="Gotham Book"/>
          <w:sz w:val="20"/>
          <w:szCs w:val="20"/>
        </w:rPr>
        <w:t>doi:10.1016/j.jclinepi.2023.08.001.</w:t>
      </w:r>
      <w:r w:rsidR="00D45899">
        <w:rPr>
          <w:rFonts w:ascii="Gotham Book" w:hAnsi="Gotham Book"/>
          <w:sz w:val="20"/>
          <w:szCs w:val="20"/>
        </w:rPr>
        <w:t xml:space="preserve"> </w:t>
      </w:r>
    </w:p>
    <w:p w14:paraId="4C6BC987" w14:textId="12E3B263"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Lewin, S., Bohren, M., Rashidian, A., Munthe-Kaas, H., Glenton, C., Colvin, CJ., et al. (2018) </w:t>
      </w:r>
      <w:r w:rsidRPr="00AF3AA3">
        <w:rPr>
          <w:rFonts w:ascii="Gotham Book" w:hAnsi="Gotham Book"/>
          <w:i/>
          <w:iCs/>
          <w:sz w:val="20"/>
          <w:szCs w:val="20"/>
        </w:rPr>
        <w:t>Applying GRADE-</w:t>
      </w:r>
      <w:proofErr w:type="spellStart"/>
      <w:r w:rsidRPr="00AF3AA3">
        <w:rPr>
          <w:rFonts w:ascii="Gotham Book" w:hAnsi="Gotham Book"/>
          <w:i/>
          <w:iCs/>
          <w:sz w:val="20"/>
          <w:szCs w:val="20"/>
        </w:rPr>
        <w:t>CERQual</w:t>
      </w:r>
      <w:proofErr w:type="spellEnd"/>
      <w:r w:rsidRPr="00AF3AA3">
        <w:rPr>
          <w:rFonts w:ascii="Gotham Book" w:hAnsi="Gotham Book"/>
          <w:i/>
          <w:iCs/>
          <w:sz w:val="20"/>
          <w:szCs w:val="20"/>
        </w:rPr>
        <w:t xml:space="preserve"> to qualitative evidence synthesis findings-paper 2: how to make an overall </w:t>
      </w:r>
      <w:proofErr w:type="spellStart"/>
      <w:r w:rsidRPr="00AF3AA3">
        <w:rPr>
          <w:rFonts w:ascii="Gotham Book" w:hAnsi="Gotham Book"/>
          <w:i/>
          <w:iCs/>
          <w:sz w:val="20"/>
          <w:szCs w:val="20"/>
        </w:rPr>
        <w:t>CERQual</w:t>
      </w:r>
      <w:proofErr w:type="spellEnd"/>
      <w:r w:rsidRPr="00AF3AA3">
        <w:rPr>
          <w:rFonts w:ascii="Gotham Book" w:hAnsi="Gotham Book"/>
          <w:i/>
          <w:iCs/>
          <w:sz w:val="20"/>
          <w:szCs w:val="20"/>
        </w:rPr>
        <w:t xml:space="preserve"> assessment of confidence and create a Summary of Qualitative Findings table.</w:t>
      </w:r>
      <w:r w:rsidRPr="00AF3AA3">
        <w:rPr>
          <w:rFonts w:ascii="Gotham Book" w:hAnsi="Gotham Book"/>
          <w:sz w:val="20"/>
          <w:szCs w:val="20"/>
        </w:rPr>
        <w:t xml:space="preserve"> Implement Sci, 13:10.</w:t>
      </w:r>
      <w:r w:rsidR="00596D76">
        <w:rPr>
          <w:rFonts w:ascii="Gotham Book" w:hAnsi="Gotham Book"/>
          <w:sz w:val="20"/>
          <w:szCs w:val="20"/>
        </w:rPr>
        <w:t xml:space="preserve"> </w:t>
      </w:r>
      <w:hyperlink r:id="rId52" w:history="1">
        <w:r w:rsidR="00596D76" w:rsidRPr="00342F87">
          <w:rPr>
            <w:rStyle w:val="Hyperlink"/>
            <w:rFonts w:ascii="Gotham Book" w:hAnsi="Gotham Book"/>
            <w:sz w:val="20"/>
            <w:szCs w:val="20"/>
          </w:rPr>
          <w:t>https://doi.org/10.1186/s13012-017-0689-2</w:t>
        </w:r>
      </w:hyperlink>
      <w:r w:rsidR="00596D76">
        <w:rPr>
          <w:rFonts w:ascii="Gotham Book" w:hAnsi="Gotham Book"/>
          <w:sz w:val="20"/>
          <w:szCs w:val="20"/>
        </w:rPr>
        <w:t xml:space="preserve"> </w:t>
      </w:r>
    </w:p>
    <w:p w14:paraId="5E1F0B92" w14:textId="00EA2954"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Lotfi, T., Hajizadeh, A., Moja, L., Akl, E., Piggott, T., </w:t>
      </w:r>
      <w:proofErr w:type="spellStart"/>
      <w:r w:rsidRPr="00AF3AA3">
        <w:rPr>
          <w:rFonts w:ascii="Gotham Book" w:hAnsi="Gotham Book"/>
          <w:sz w:val="20"/>
          <w:szCs w:val="20"/>
        </w:rPr>
        <w:t>Kredo</w:t>
      </w:r>
      <w:proofErr w:type="spellEnd"/>
      <w:r w:rsidRPr="00AF3AA3">
        <w:rPr>
          <w:rFonts w:ascii="Gotham Book" w:hAnsi="Gotham Book"/>
          <w:sz w:val="20"/>
          <w:szCs w:val="20"/>
        </w:rPr>
        <w:t xml:space="preserve">, T., et al. (2022) </w:t>
      </w:r>
      <w:r w:rsidRPr="00AF3AA3">
        <w:rPr>
          <w:rFonts w:ascii="Gotham Book" w:hAnsi="Gotham Book"/>
          <w:i/>
          <w:iCs/>
          <w:sz w:val="20"/>
          <w:szCs w:val="20"/>
        </w:rPr>
        <w:t>A taxonomy and framework for identifying and developing actionable statements in guidelines suggests avoiding informal recommendations.</w:t>
      </w:r>
      <w:r w:rsidRPr="00AF3AA3">
        <w:rPr>
          <w:rFonts w:ascii="Gotham Book" w:hAnsi="Gotham Book"/>
          <w:sz w:val="20"/>
          <w:szCs w:val="20"/>
        </w:rPr>
        <w:t xml:space="preserve"> J Clin Epidemiol, 141:161-71.</w:t>
      </w:r>
      <w:r w:rsidR="00596D76">
        <w:rPr>
          <w:rFonts w:ascii="Gotham Book" w:hAnsi="Gotham Book"/>
          <w:sz w:val="20"/>
          <w:szCs w:val="20"/>
        </w:rPr>
        <w:t xml:space="preserve"> </w:t>
      </w:r>
      <w:r w:rsidR="00596D76" w:rsidRPr="00596D76">
        <w:rPr>
          <w:rFonts w:ascii="Gotham Book" w:hAnsi="Gotham Book"/>
          <w:sz w:val="20"/>
          <w:szCs w:val="20"/>
        </w:rPr>
        <w:t>doi:10.1016/j.jclinepi.2021.09.028.</w:t>
      </w:r>
    </w:p>
    <w:p w14:paraId="680BBD79" w14:textId="2B84E5C3"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Andrews, JC., </w:t>
      </w:r>
      <w:proofErr w:type="spellStart"/>
      <w:r w:rsidRPr="00AF3AA3">
        <w:rPr>
          <w:rFonts w:ascii="Gotham Book" w:hAnsi="Gotham Book"/>
          <w:sz w:val="20"/>
          <w:szCs w:val="20"/>
        </w:rPr>
        <w:t>Schünemann</w:t>
      </w:r>
      <w:proofErr w:type="spellEnd"/>
      <w:r w:rsidRPr="00AF3AA3">
        <w:rPr>
          <w:rFonts w:ascii="Gotham Book" w:hAnsi="Gotham Book"/>
          <w:sz w:val="20"/>
          <w:szCs w:val="20"/>
        </w:rPr>
        <w:t xml:space="preserve">, HJ., Oxman, AD., </w:t>
      </w:r>
      <w:proofErr w:type="spellStart"/>
      <w:r w:rsidRPr="00AF3AA3">
        <w:rPr>
          <w:rFonts w:ascii="Gotham Book" w:hAnsi="Gotham Book"/>
          <w:sz w:val="20"/>
          <w:szCs w:val="20"/>
        </w:rPr>
        <w:t>Pottie</w:t>
      </w:r>
      <w:proofErr w:type="spellEnd"/>
      <w:r w:rsidRPr="00AF3AA3">
        <w:rPr>
          <w:rFonts w:ascii="Gotham Book" w:hAnsi="Gotham Book"/>
          <w:sz w:val="20"/>
          <w:szCs w:val="20"/>
        </w:rPr>
        <w:t xml:space="preserve">, K., </w:t>
      </w:r>
      <w:proofErr w:type="spellStart"/>
      <w:r w:rsidRPr="00AF3AA3">
        <w:rPr>
          <w:rFonts w:ascii="Gotham Book" w:hAnsi="Gotham Book"/>
          <w:sz w:val="20"/>
          <w:szCs w:val="20"/>
        </w:rPr>
        <w:t>Meerpohl</w:t>
      </w:r>
      <w:proofErr w:type="spellEnd"/>
      <w:r w:rsidRPr="00AF3AA3">
        <w:rPr>
          <w:rFonts w:ascii="Gotham Book" w:hAnsi="Gotham Book"/>
          <w:sz w:val="20"/>
          <w:szCs w:val="20"/>
        </w:rPr>
        <w:t xml:space="preserve">, JJ., Coello, PA., et al. (2013) </w:t>
      </w:r>
      <w:r w:rsidRPr="00AF3AA3">
        <w:rPr>
          <w:rFonts w:ascii="Gotham Book" w:hAnsi="Gotham Book"/>
          <w:i/>
          <w:iCs/>
          <w:sz w:val="20"/>
          <w:szCs w:val="20"/>
        </w:rPr>
        <w:t>GRADE guidelines: 15. Going from evidence to recommendation-determinants of a recommendation's direction and strength.</w:t>
      </w:r>
      <w:r w:rsidRPr="00AF3AA3">
        <w:rPr>
          <w:rFonts w:ascii="Gotham Book" w:hAnsi="Gotham Book"/>
          <w:sz w:val="20"/>
          <w:szCs w:val="20"/>
        </w:rPr>
        <w:t xml:space="preserve"> J Clin Epidemiol, </w:t>
      </w:r>
      <w:r w:rsidR="0069546E">
        <w:rPr>
          <w:rFonts w:ascii="Gotham Book" w:hAnsi="Gotham Book"/>
          <w:sz w:val="20"/>
          <w:szCs w:val="20"/>
        </w:rPr>
        <w:t>Jul;</w:t>
      </w:r>
      <w:r w:rsidRPr="00AF3AA3">
        <w:rPr>
          <w:rFonts w:ascii="Gotham Book" w:hAnsi="Gotham Book"/>
          <w:sz w:val="20"/>
          <w:szCs w:val="20"/>
        </w:rPr>
        <w:t>66:726-35.</w:t>
      </w:r>
      <w:r w:rsidR="0069546E">
        <w:rPr>
          <w:rFonts w:ascii="Gotham Book" w:hAnsi="Gotham Book"/>
          <w:sz w:val="20"/>
          <w:szCs w:val="20"/>
        </w:rPr>
        <w:t xml:space="preserve"> </w:t>
      </w:r>
      <w:r w:rsidR="0069546E" w:rsidRPr="0069546E">
        <w:rPr>
          <w:rFonts w:ascii="Gotham Book" w:hAnsi="Gotham Book"/>
          <w:sz w:val="20"/>
          <w:szCs w:val="20"/>
        </w:rPr>
        <w:t>doi:10.1016/j.jclinepi.2013.02.003.</w:t>
      </w:r>
    </w:p>
    <w:p w14:paraId="2570B834" w14:textId="77777777"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National Institute for Health and Care Excellence (NICE). (2014)</w:t>
      </w:r>
      <w:r w:rsidRPr="00AF3AA3">
        <w:rPr>
          <w:rFonts w:ascii="Gotham Book" w:hAnsi="Gotham Book"/>
          <w:i/>
          <w:iCs/>
          <w:sz w:val="20"/>
          <w:szCs w:val="20"/>
        </w:rPr>
        <w:t xml:space="preserve"> Developing NICE guidelines: the manual</w:t>
      </w:r>
      <w:r w:rsidRPr="00AF3AA3">
        <w:rPr>
          <w:rFonts w:ascii="Gotham Book" w:hAnsi="Gotham Book"/>
          <w:sz w:val="20"/>
          <w:szCs w:val="20"/>
        </w:rPr>
        <w:t>. nice.org.uk/process/pmg20</w:t>
      </w:r>
    </w:p>
    <w:p w14:paraId="70577648" w14:textId="77777777" w:rsidR="00AF3AA3" w:rsidRPr="00AF3AA3" w:rsidRDefault="00AF3AA3" w:rsidP="00AF3AA3">
      <w:pPr>
        <w:numPr>
          <w:ilvl w:val="0"/>
          <w:numId w:val="19"/>
        </w:numPr>
        <w:spacing w:after="120" w:line="240" w:lineRule="auto"/>
        <w:rPr>
          <w:rFonts w:ascii="Gotham Book" w:hAnsi="Gotham Book"/>
          <w:sz w:val="20"/>
          <w:szCs w:val="20"/>
        </w:rPr>
      </w:pPr>
      <w:proofErr w:type="spellStart"/>
      <w:r w:rsidRPr="00AF3AA3">
        <w:rPr>
          <w:rFonts w:ascii="Gotham Book" w:hAnsi="Gotham Book"/>
          <w:sz w:val="20"/>
          <w:szCs w:val="20"/>
        </w:rPr>
        <w:t>Dewidar</w:t>
      </w:r>
      <w:proofErr w:type="spellEnd"/>
      <w:r w:rsidRPr="00AF3AA3">
        <w:rPr>
          <w:rFonts w:ascii="Gotham Book" w:hAnsi="Gotham Book"/>
          <w:sz w:val="20"/>
          <w:szCs w:val="20"/>
        </w:rPr>
        <w:t xml:space="preserve">, O., Lotfi, T., </w:t>
      </w:r>
      <w:proofErr w:type="spellStart"/>
      <w:r w:rsidRPr="00AF3AA3">
        <w:rPr>
          <w:rFonts w:ascii="Gotham Book" w:hAnsi="Gotham Book"/>
          <w:sz w:val="20"/>
          <w:szCs w:val="20"/>
        </w:rPr>
        <w:t>Langendam</w:t>
      </w:r>
      <w:proofErr w:type="spellEnd"/>
      <w:r w:rsidRPr="00AF3AA3">
        <w:rPr>
          <w:rFonts w:ascii="Gotham Book" w:hAnsi="Gotham Book"/>
          <w:sz w:val="20"/>
          <w:szCs w:val="20"/>
        </w:rPr>
        <w:t xml:space="preserve">, MW., </w:t>
      </w:r>
      <w:proofErr w:type="spellStart"/>
      <w:r w:rsidRPr="00AF3AA3">
        <w:rPr>
          <w:rFonts w:ascii="Gotham Book" w:hAnsi="Gotham Book"/>
          <w:sz w:val="20"/>
          <w:szCs w:val="20"/>
        </w:rPr>
        <w:t>Parmelli</w:t>
      </w:r>
      <w:proofErr w:type="spellEnd"/>
      <w:r w:rsidRPr="00AF3AA3">
        <w:rPr>
          <w:rFonts w:ascii="Gotham Book" w:hAnsi="Gotham Book"/>
          <w:sz w:val="20"/>
          <w:szCs w:val="20"/>
        </w:rPr>
        <w:t xml:space="preserve">, E., </w:t>
      </w:r>
      <w:proofErr w:type="spellStart"/>
      <w:r w:rsidRPr="00AF3AA3">
        <w:rPr>
          <w:rFonts w:ascii="Gotham Book" w:hAnsi="Gotham Book"/>
          <w:sz w:val="20"/>
          <w:szCs w:val="20"/>
        </w:rPr>
        <w:t>Saz</w:t>
      </w:r>
      <w:proofErr w:type="spellEnd"/>
      <w:r w:rsidRPr="00AF3AA3">
        <w:rPr>
          <w:rFonts w:ascii="Gotham Book" w:hAnsi="Gotham Book"/>
          <w:sz w:val="20"/>
          <w:szCs w:val="20"/>
        </w:rPr>
        <w:t xml:space="preserve"> Parkinson, Z., Solo, K., et al. (2022) Good or best practice statements: proposal for the operationalisation and implementation of GRADE guidance. BMJ Evidence-Based Medicine, doi:10.1136/bmjebm-2022-111962.</w:t>
      </w:r>
    </w:p>
    <w:p w14:paraId="6661AEBA" w14:textId="77777777"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Norris, SL. (2024) </w:t>
      </w:r>
      <w:r w:rsidRPr="00AF3AA3">
        <w:rPr>
          <w:rFonts w:ascii="Gotham Book" w:hAnsi="Gotham Book"/>
          <w:i/>
          <w:iCs/>
          <w:sz w:val="20"/>
          <w:szCs w:val="20"/>
        </w:rPr>
        <w:t>GRADE Good Practice Statements - A time to say Good-bye? A new typology for normative statements on interventions.</w:t>
      </w:r>
      <w:r w:rsidRPr="00AF3AA3">
        <w:rPr>
          <w:rFonts w:ascii="Gotham Book" w:hAnsi="Gotham Book"/>
          <w:sz w:val="20"/>
          <w:szCs w:val="20"/>
        </w:rPr>
        <w:t xml:space="preserve"> J Clin Epidemiol, 171:111371. </w:t>
      </w:r>
      <w:proofErr w:type="spellStart"/>
      <w:r w:rsidRPr="00AF3AA3">
        <w:rPr>
          <w:rFonts w:ascii="Gotham Book" w:hAnsi="Gotham Book"/>
          <w:sz w:val="20"/>
          <w:szCs w:val="20"/>
        </w:rPr>
        <w:t>doi</w:t>
      </w:r>
      <w:proofErr w:type="spellEnd"/>
      <w:r w:rsidRPr="00AF3AA3">
        <w:rPr>
          <w:rFonts w:ascii="Gotham Book" w:hAnsi="Gotham Book"/>
          <w:sz w:val="20"/>
          <w:szCs w:val="20"/>
        </w:rPr>
        <w:t>: 10.1016/j.jclinepi.2024.111371.</w:t>
      </w:r>
    </w:p>
    <w:p w14:paraId="4C78F81A" w14:textId="648F7172" w:rsidR="00AF3AA3" w:rsidRPr="00AF3AA3" w:rsidRDefault="00AF3AA3" w:rsidP="00AF3AA3">
      <w:pPr>
        <w:numPr>
          <w:ilvl w:val="0"/>
          <w:numId w:val="19"/>
        </w:numPr>
        <w:spacing w:after="120" w:line="240" w:lineRule="auto"/>
        <w:rPr>
          <w:rFonts w:ascii="Gotham Book" w:hAnsi="Gotham Book"/>
          <w:sz w:val="20"/>
          <w:szCs w:val="20"/>
        </w:rPr>
      </w:pPr>
      <w:r w:rsidRPr="00AF3AA3">
        <w:rPr>
          <w:rFonts w:ascii="Gotham Book" w:hAnsi="Gotham Book"/>
          <w:sz w:val="20"/>
          <w:szCs w:val="20"/>
        </w:rPr>
        <w:t xml:space="preserve">Chen, Y., Yang, K., Marušić, A., et al. (2017) </w:t>
      </w:r>
      <w:r w:rsidRPr="00AF3AA3">
        <w:rPr>
          <w:rFonts w:ascii="Gotham Book" w:hAnsi="Gotham Book"/>
          <w:i/>
          <w:iCs/>
          <w:sz w:val="20"/>
          <w:szCs w:val="20"/>
        </w:rPr>
        <w:t xml:space="preserve">A Reporting Tool for Practice Guidelines in Health Care: The RIGHT Statement[J]. </w:t>
      </w:r>
      <w:r w:rsidRPr="00AF3AA3">
        <w:rPr>
          <w:rFonts w:ascii="Gotham Book" w:hAnsi="Gotham Book"/>
          <w:sz w:val="20"/>
          <w:szCs w:val="20"/>
        </w:rPr>
        <w:t>Annals of Internal Medicine, 166(2):128-132.</w:t>
      </w:r>
      <w:r w:rsidR="009F6FC0">
        <w:rPr>
          <w:rFonts w:ascii="Gotham Book" w:hAnsi="Gotham Book"/>
          <w:sz w:val="20"/>
          <w:szCs w:val="20"/>
        </w:rPr>
        <w:t xml:space="preserve"> </w:t>
      </w:r>
      <w:r w:rsidR="009F6FC0" w:rsidRPr="009F6FC0">
        <w:rPr>
          <w:rFonts w:ascii="Gotham Book" w:hAnsi="Gotham Book"/>
          <w:sz w:val="20"/>
          <w:szCs w:val="20"/>
        </w:rPr>
        <w:t>doi:10.7326/M16-1565.</w:t>
      </w:r>
      <w:r w:rsidR="009F6FC0">
        <w:rPr>
          <w:rFonts w:ascii="Gotham Book" w:hAnsi="Gotham Book"/>
          <w:sz w:val="20"/>
          <w:szCs w:val="20"/>
        </w:rPr>
        <w:t xml:space="preserve"> </w:t>
      </w:r>
    </w:p>
    <w:p w14:paraId="6E7287B1" w14:textId="2A76F20B" w:rsidR="007B140D" w:rsidRDefault="007B140D" w:rsidP="00C4202D">
      <w:pPr>
        <w:spacing w:after="120" w:line="240" w:lineRule="auto"/>
        <w:ind w:left="720" w:hanging="720"/>
        <w:rPr>
          <w:rFonts w:ascii="Gotham Book" w:hAnsi="Gotham Book"/>
          <w:sz w:val="20"/>
          <w:szCs w:val="20"/>
        </w:rPr>
      </w:pPr>
    </w:p>
    <w:p w14:paraId="2B62262B" w14:textId="77777777" w:rsidR="00BA20E7" w:rsidRPr="00BA20E7" w:rsidRDefault="00BA20E7" w:rsidP="00BA20E7">
      <w:pPr>
        <w:pStyle w:val="Heading1"/>
      </w:pPr>
      <w:r w:rsidRPr="00BA20E7">
        <w:t>Acknowledgements</w:t>
      </w:r>
    </w:p>
    <w:p w14:paraId="6F5EF99D" w14:textId="77777777" w:rsidR="00BA20E7" w:rsidRPr="000162B7" w:rsidRDefault="00BA20E7" w:rsidP="000162B7">
      <w:pPr>
        <w:spacing w:after="0"/>
        <w:rPr>
          <w:rFonts w:ascii="Gotham Book" w:hAnsi="Gotham Book"/>
        </w:rPr>
      </w:pPr>
      <w:r w:rsidRPr="000162B7">
        <w:rPr>
          <w:rFonts w:ascii="Gotham Book" w:hAnsi="Gotham Book"/>
        </w:rPr>
        <w:t>NHMRC would like to acknowledge and thank Dr Sue Brennan from Cochrane Australia who authored this module.</w:t>
      </w:r>
    </w:p>
    <w:p w14:paraId="76F0D722" w14:textId="77777777" w:rsidR="00BA20E7" w:rsidRPr="00C66AFF" w:rsidRDefault="00BA20E7" w:rsidP="00C4202D">
      <w:pPr>
        <w:spacing w:after="120" w:line="240" w:lineRule="auto"/>
        <w:ind w:left="720" w:hanging="720"/>
        <w:rPr>
          <w:rFonts w:ascii="Gotham Book" w:hAnsi="Gotham Book"/>
          <w:sz w:val="20"/>
          <w:szCs w:val="20"/>
        </w:rPr>
      </w:pPr>
    </w:p>
    <w:sectPr w:rsidR="00BA20E7" w:rsidRPr="00C66AFF" w:rsidSect="008B7670">
      <w:headerReference w:type="default" r:id="rId53"/>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B957C" w14:textId="77777777" w:rsidR="00C73F74" w:rsidRDefault="00C73F74">
      <w:pPr>
        <w:spacing w:after="0" w:line="240" w:lineRule="auto"/>
      </w:pPr>
      <w:r>
        <w:separator/>
      </w:r>
    </w:p>
  </w:endnote>
  <w:endnote w:type="continuationSeparator" w:id="0">
    <w:p w14:paraId="3D75AB05" w14:textId="77777777" w:rsidR="00C73F74" w:rsidRDefault="00C73F74">
      <w:pPr>
        <w:spacing w:after="0" w:line="240" w:lineRule="auto"/>
      </w:pPr>
      <w:r>
        <w:continuationSeparator/>
      </w:r>
    </w:p>
  </w:endnote>
  <w:endnote w:type="continuationNotice" w:id="1">
    <w:p w14:paraId="2A324DE9" w14:textId="77777777" w:rsidR="00C73F74" w:rsidRDefault="00C73F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068894"/>
      <w:docPartObj>
        <w:docPartGallery w:val="Page Numbers (Bottom of Page)"/>
        <w:docPartUnique/>
      </w:docPartObj>
    </w:sdtPr>
    <w:sdtEndPr>
      <w:rPr>
        <w:noProof/>
      </w:rPr>
    </w:sdtEndPr>
    <w:sdtContent>
      <w:p w14:paraId="6CA9E043" w14:textId="6040C548" w:rsidR="00117A9F" w:rsidRDefault="00117A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0A7AA5" w14:textId="3C0D37AF" w:rsidR="0023311D" w:rsidRPr="00512C90" w:rsidRDefault="0023311D" w:rsidP="00512C9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65061" w14:textId="77777777" w:rsidR="00C73F74" w:rsidRDefault="00C73F74" w:rsidP="00333343">
      <w:pPr>
        <w:spacing w:after="0" w:line="240" w:lineRule="auto"/>
      </w:pPr>
      <w:r>
        <w:separator/>
      </w:r>
    </w:p>
  </w:footnote>
  <w:footnote w:type="continuationSeparator" w:id="0">
    <w:p w14:paraId="5FC70AD6" w14:textId="77777777" w:rsidR="00C73F74" w:rsidRDefault="00C73F74" w:rsidP="00333343">
      <w:pPr>
        <w:spacing w:after="0" w:line="240" w:lineRule="auto"/>
      </w:pPr>
      <w:r>
        <w:continuationSeparator/>
      </w:r>
    </w:p>
  </w:footnote>
  <w:footnote w:type="continuationNotice" w:id="1">
    <w:p w14:paraId="438EC151" w14:textId="77777777" w:rsidR="00C73F74" w:rsidRDefault="00C73F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8B113" w14:textId="29B2C0EF" w:rsidR="00EA0B38" w:rsidRPr="00646746" w:rsidRDefault="00000000" w:rsidP="007321D3">
    <w:pPr>
      <w:pStyle w:val="Header"/>
      <w:rPr>
        <w:rFonts w:ascii="Gotham Book" w:hAnsi="Gotham Book"/>
        <w:sz w:val="23"/>
        <w:szCs w:val="23"/>
      </w:rPr>
    </w:pPr>
    <w:sdt>
      <w:sdtPr>
        <w:rPr>
          <w:rFonts w:ascii="Gotham Book" w:hAnsi="Gotham Book"/>
          <w:sz w:val="23"/>
          <w:szCs w:val="23"/>
        </w:rPr>
        <w:id w:val="1144701303"/>
        <w:docPartObj>
          <w:docPartGallery w:val="Watermarks"/>
          <w:docPartUnique/>
        </w:docPartObj>
      </w:sdtPr>
      <w:sdtContent>
        <w:r>
          <w:rPr>
            <w:rFonts w:ascii="Gotham Book" w:hAnsi="Gotham Book"/>
            <w:noProof/>
            <w:sz w:val="23"/>
            <w:szCs w:val="23"/>
          </w:rPr>
          <w:pict w14:anchorId="341BD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06FE9" w:rsidRPr="0053091B">
      <w:rPr>
        <w:rFonts w:ascii="Gotham Book" w:hAnsi="Gotham Book"/>
        <w:sz w:val="23"/>
        <w:szCs w:val="23"/>
      </w:rPr>
      <w:t xml:space="preserve">Evidence to decision </w:t>
    </w:r>
    <w:r w:rsidR="644CCEDE" w:rsidRPr="0053091B">
      <w:rPr>
        <w:rFonts w:ascii="Gotham Book" w:hAnsi="Gotham Book"/>
        <w:sz w:val="23"/>
        <w:szCs w:val="23"/>
      </w:rPr>
      <w:t>v</w:t>
    </w:r>
    <w:r w:rsidR="00D65960">
      <w:rPr>
        <w:rFonts w:ascii="Gotham Book" w:hAnsi="Gotham Book"/>
        <w:sz w:val="23"/>
        <w:szCs w:val="23"/>
      </w:rPr>
      <w:t>1</w:t>
    </w:r>
    <w:r w:rsidR="0053091B">
      <w:tab/>
    </w:r>
    <w:r w:rsidR="0053091B">
      <w:tab/>
    </w:r>
    <w:r w:rsidR="002D05DA">
      <w:rPr>
        <w:rFonts w:ascii="Gotham Book" w:hAnsi="Gotham Book"/>
        <w:sz w:val="23"/>
        <w:szCs w:val="23"/>
      </w:rPr>
      <w:t>5</w:t>
    </w:r>
    <w:r w:rsidR="0052444A">
      <w:rPr>
        <w:rFonts w:ascii="Gotham Book" w:hAnsi="Gotham Book"/>
        <w:sz w:val="23"/>
        <w:szCs w:val="23"/>
      </w:rPr>
      <w:t xml:space="preserve"> December 2024</w:t>
    </w:r>
  </w:p>
  <w:p w14:paraId="7733429E" w14:textId="77777777" w:rsidR="00EA0B38" w:rsidRDefault="00EA0B38" w:rsidP="007321D3">
    <w:pPr>
      <w:pStyle w:val="Header"/>
    </w:pPr>
  </w:p>
  <w:p w14:paraId="52BE47F8" w14:textId="2E92B08E" w:rsidR="0023311D" w:rsidRPr="007321D3" w:rsidRDefault="00F063EE" w:rsidP="007321D3">
    <w:pPr>
      <w:pStyle w:val="Header"/>
    </w:pPr>
    <w:r>
      <w:rPr>
        <w:noProof/>
        <w:lang w:eastAsia="en-AU"/>
      </w:rPr>
      <w:drawing>
        <wp:inline distT="0" distB="0" distL="0" distR="0" wp14:anchorId="46266866" wp14:editId="4A7FD876">
          <wp:extent cx="3283200" cy="757524"/>
          <wp:effectExtent l="0" t="0" r="0" b="5080"/>
          <wp:docPr id="1" name="Picture 1"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Gov-NHMRC-LH-Logo2.png"/>
                  <pic:cNvPicPr/>
                </pic:nvPicPr>
                <pic:blipFill>
                  <a:blip r:embed="rId1">
                    <a:extLst>
                      <a:ext uri="{28A0092B-C50C-407E-A947-70E740481C1C}">
                        <a14:useLocalDpi xmlns:a14="http://schemas.microsoft.com/office/drawing/2010/main" val="0"/>
                      </a:ext>
                    </a:extLst>
                  </a:blip>
                  <a:stretch>
                    <a:fillRect/>
                  </a:stretch>
                </pic:blipFill>
                <pic:spPr>
                  <a:xfrm>
                    <a:off x="0" y="0"/>
                    <a:ext cx="3283200" cy="757524"/>
                  </a:xfrm>
                  <a:prstGeom prst="rect">
                    <a:avLst/>
                  </a:prstGeom>
                </pic:spPr>
              </pic:pic>
            </a:graphicData>
          </a:graphic>
        </wp:inline>
      </w:drawing>
    </w:r>
    <w:r w:rsidR="00406FE9">
      <w:tab/>
    </w:r>
    <w:r w:rsidR="00E1171E" w:rsidRPr="00A9376C">
      <w:rPr>
        <w:noProof/>
        <w:lang w:eastAsia="en-AU"/>
      </w:rPr>
      <w:drawing>
        <wp:inline distT="0" distB="0" distL="0" distR="0" wp14:anchorId="46C4C692" wp14:editId="0602983F">
          <wp:extent cx="671830" cy="671830"/>
          <wp:effectExtent l="0" t="0" r="0" b="0"/>
          <wp:docPr id="4" name="Picture 4" descr="\\domain.internal\users\CBR\hoffms\My Received Files\A80E2A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domain.internal\users\CBR\hoffms\My Received Files\A80E2A46.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1830" cy="671830"/>
                  </a:xfrm>
                  <a:prstGeom prst="rect">
                    <a:avLst/>
                  </a:prstGeom>
                  <a:noFill/>
                  <a:ln>
                    <a:noFill/>
                  </a:ln>
                </pic:spPr>
              </pic:pic>
            </a:graphicData>
          </a:graphic>
        </wp:inline>
      </w:drawing>
    </w:r>
    <w:r w:rsidR="00A73DAE">
      <w:tab/>
    </w:r>
  </w:p>
  <w:p w14:paraId="68DBDD3E" w14:textId="77777777" w:rsidR="0023311D" w:rsidRDefault="00233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CCE"/>
    <w:multiLevelType w:val="hybridMultilevel"/>
    <w:tmpl w:val="7D00E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7365B9"/>
    <w:multiLevelType w:val="multilevel"/>
    <w:tmpl w:val="222AF626"/>
    <w:lvl w:ilvl="0">
      <w:start w:val="1"/>
      <w:numFmt w:val="decimal"/>
      <w:lvlText w:val="%1."/>
      <w:lvlJc w:val="left"/>
      <w:pPr>
        <w:ind w:left="360" w:hanging="360"/>
      </w:pPr>
      <w:rPr>
        <w:rFonts w:hint="default"/>
        <w:b w:val="0"/>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667D7D"/>
    <w:multiLevelType w:val="multilevel"/>
    <w:tmpl w:val="56D48D0A"/>
    <w:lvl w:ilvl="0">
      <w:start w:val="5"/>
      <w:numFmt w:val="decimal"/>
      <w:lvlText w:val="%1."/>
      <w:lvlJc w:val="left"/>
      <w:pPr>
        <w:ind w:left="360" w:hanging="360"/>
      </w:pPr>
      <w:rPr>
        <w:rFonts w:hint="default"/>
        <w:b w:val="0"/>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D82FEC"/>
    <w:multiLevelType w:val="hybridMultilevel"/>
    <w:tmpl w:val="69A45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195EB7"/>
    <w:multiLevelType w:val="multilevel"/>
    <w:tmpl w:val="58D41F10"/>
    <w:lvl w:ilvl="0">
      <w:start w:val="6"/>
      <w:numFmt w:val="decimal"/>
      <w:lvlText w:val="%1."/>
      <w:lvlJc w:val="left"/>
      <w:pPr>
        <w:ind w:left="360" w:hanging="360"/>
      </w:pPr>
      <w:rPr>
        <w:rFonts w:hint="default"/>
        <w:b w:val="0"/>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D83C58"/>
    <w:multiLevelType w:val="hybridMultilevel"/>
    <w:tmpl w:val="6116E14E"/>
    <w:lvl w:ilvl="0" w:tplc="4B72C09C">
      <w:numFmt w:val="bullet"/>
      <w:lvlText w:val="•"/>
      <w:lvlJc w:val="left"/>
      <w:pPr>
        <w:ind w:left="720" w:hanging="360"/>
      </w:pPr>
      <w:rPr>
        <w:rFonts w:ascii="Gotham Book" w:eastAsiaTheme="minorHAnsi" w:hAnsi="Gotham Book"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BF5617"/>
    <w:multiLevelType w:val="multilevel"/>
    <w:tmpl w:val="C4044270"/>
    <w:lvl w:ilvl="0">
      <w:start w:val="2"/>
      <w:numFmt w:val="decimal"/>
      <w:lvlText w:val="%1."/>
      <w:lvlJc w:val="left"/>
      <w:pPr>
        <w:ind w:left="360" w:hanging="360"/>
      </w:pPr>
      <w:rPr>
        <w:rFonts w:hint="default"/>
        <w:b w:val="0"/>
        <w:bCs w:val="0"/>
        <w:i w:val="0"/>
        <w:iCs w:val="0"/>
        <w:caps w:val="0"/>
        <w:strike w:val="0"/>
        <w:dstrike w:val="0"/>
        <w:vanish w:val="0"/>
        <w:color w:val="000000"/>
        <w:spacing w:val="0"/>
        <w:kern w:val="0"/>
        <w:position w:val="0"/>
        <w:u w:val="none"/>
        <w:effect w:val="none"/>
        <w:vertAlign w:val="baseli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D3655D"/>
    <w:multiLevelType w:val="hybridMultilevel"/>
    <w:tmpl w:val="901C084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E444197"/>
    <w:multiLevelType w:val="multilevel"/>
    <w:tmpl w:val="F8AC8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1C77B3"/>
    <w:multiLevelType w:val="hybridMultilevel"/>
    <w:tmpl w:val="9B64DF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C47920"/>
    <w:multiLevelType w:val="hybridMultilevel"/>
    <w:tmpl w:val="48985BE0"/>
    <w:lvl w:ilvl="0" w:tplc="4B72C09C">
      <w:numFmt w:val="bullet"/>
      <w:lvlText w:val="•"/>
      <w:lvlJc w:val="left"/>
      <w:pPr>
        <w:ind w:left="720" w:hanging="360"/>
      </w:pPr>
      <w:rPr>
        <w:rFonts w:ascii="Gotham Book" w:eastAsiaTheme="minorHAnsi" w:hAnsi="Gotham Book"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0A0FCA"/>
    <w:multiLevelType w:val="multilevel"/>
    <w:tmpl w:val="AC1C6314"/>
    <w:lvl w:ilvl="0">
      <w:start w:val="1"/>
      <w:numFmt w:val="decimal"/>
      <w:lvlText w:val="%1."/>
      <w:lvlJc w:val="left"/>
      <w:pPr>
        <w:ind w:left="360" w:hanging="360"/>
      </w:pPr>
      <w:rPr>
        <w:rFonts w:hint="default"/>
        <w:b w:val="0"/>
        <w:bCs w:val="0"/>
        <w:i w:val="0"/>
        <w:iCs w:val="0"/>
        <w:caps w:val="0"/>
        <w:strike w:val="0"/>
        <w:dstrike w:val="0"/>
        <w:vanish w:val="0"/>
        <w:color w:val="000000"/>
        <w:spacing w:val="0"/>
        <w:kern w:val="0"/>
        <w:position w:val="0"/>
        <w:u w:val="none"/>
        <w:effect w:val="none"/>
        <w:vertAlign w:val="baseline"/>
        <w14:ligatures w14:val="none"/>
        <w14:numForm w14:val="default"/>
        <w14:numSpacing w14:val="default"/>
        <w14:stylisticSets/>
        <w14:cntxtAlts w14:val="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3B2DB0"/>
    <w:multiLevelType w:val="hybridMultilevel"/>
    <w:tmpl w:val="C41ABBD0"/>
    <w:lvl w:ilvl="0" w:tplc="4B72C09C">
      <w:numFmt w:val="bullet"/>
      <w:lvlText w:val="•"/>
      <w:lvlJc w:val="left"/>
      <w:pPr>
        <w:ind w:left="720" w:hanging="360"/>
      </w:pPr>
      <w:rPr>
        <w:rFonts w:ascii="Gotham Book" w:eastAsiaTheme="minorHAnsi" w:hAnsi="Gotham Book"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F90BB8"/>
    <w:multiLevelType w:val="hybridMultilevel"/>
    <w:tmpl w:val="77323200"/>
    <w:lvl w:ilvl="0" w:tplc="FFF4F246">
      <w:start w:val="1"/>
      <w:numFmt w:val="bullet"/>
      <w:lvlText w:val=""/>
      <w:lvlJc w:val="left"/>
      <w:pPr>
        <w:ind w:left="720" w:hanging="360"/>
      </w:pPr>
      <w:rPr>
        <w:rFonts w:ascii="Symbol" w:hAnsi="Symbol" w:hint="default"/>
      </w:rPr>
    </w:lvl>
    <w:lvl w:ilvl="1" w:tplc="EDFC7714" w:tentative="1">
      <w:start w:val="1"/>
      <w:numFmt w:val="bullet"/>
      <w:lvlText w:val="o"/>
      <w:lvlJc w:val="left"/>
      <w:pPr>
        <w:ind w:left="1440" w:hanging="360"/>
      </w:pPr>
      <w:rPr>
        <w:rFonts w:ascii="Courier New" w:hAnsi="Courier New" w:cs="Courier New" w:hint="default"/>
      </w:rPr>
    </w:lvl>
    <w:lvl w:ilvl="2" w:tplc="9AE00534" w:tentative="1">
      <w:start w:val="1"/>
      <w:numFmt w:val="bullet"/>
      <w:lvlText w:val=""/>
      <w:lvlJc w:val="left"/>
      <w:pPr>
        <w:ind w:left="2160" w:hanging="360"/>
      </w:pPr>
      <w:rPr>
        <w:rFonts w:ascii="Wingdings" w:hAnsi="Wingdings" w:hint="default"/>
      </w:rPr>
    </w:lvl>
    <w:lvl w:ilvl="3" w:tplc="E69C80F0" w:tentative="1">
      <w:start w:val="1"/>
      <w:numFmt w:val="bullet"/>
      <w:lvlText w:val=""/>
      <w:lvlJc w:val="left"/>
      <w:pPr>
        <w:ind w:left="2880" w:hanging="360"/>
      </w:pPr>
      <w:rPr>
        <w:rFonts w:ascii="Symbol" w:hAnsi="Symbol" w:hint="default"/>
      </w:rPr>
    </w:lvl>
    <w:lvl w:ilvl="4" w:tplc="F1667D9E" w:tentative="1">
      <w:start w:val="1"/>
      <w:numFmt w:val="bullet"/>
      <w:lvlText w:val="o"/>
      <w:lvlJc w:val="left"/>
      <w:pPr>
        <w:ind w:left="3600" w:hanging="360"/>
      </w:pPr>
      <w:rPr>
        <w:rFonts w:ascii="Courier New" w:hAnsi="Courier New" w:cs="Courier New" w:hint="default"/>
      </w:rPr>
    </w:lvl>
    <w:lvl w:ilvl="5" w:tplc="B2C816B6" w:tentative="1">
      <w:start w:val="1"/>
      <w:numFmt w:val="bullet"/>
      <w:lvlText w:val=""/>
      <w:lvlJc w:val="left"/>
      <w:pPr>
        <w:ind w:left="4320" w:hanging="360"/>
      </w:pPr>
      <w:rPr>
        <w:rFonts w:ascii="Wingdings" w:hAnsi="Wingdings" w:hint="default"/>
      </w:rPr>
    </w:lvl>
    <w:lvl w:ilvl="6" w:tplc="9FB0B916" w:tentative="1">
      <w:start w:val="1"/>
      <w:numFmt w:val="bullet"/>
      <w:lvlText w:val=""/>
      <w:lvlJc w:val="left"/>
      <w:pPr>
        <w:ind w:left="5040" w:hanging="360"/>
      </w:pPr>
      <w:rPr>
        <w:rFonts w:ascii="Symbol" w:hAnsi="Symbol" w:hint="default"/>
      </w:rPr>
    </w:lvl>
    <w:lvl w:ilvl="7" w:tplc="1D06BCF0" w:tentative="1">
      <w:start w:val="1"/>
      <w:numFmt w:val="bullet"/>
      <w:lvlText w:val="o"/>
      <w:lvlJc w:val="left"/>
      <w:pPr>
        <w:ind w:left="5760" w:hanging="360"/>
      </w:pPr>
      <w:rPr>
        <w:rFonts w:ascii="Courier New" w:hAnsi="Courier New" w:cs="Courier New" w:hint="default"/>
      </w:rPr>
    </w:lvl>
    <w:lvl w:ilvl="8" w:tplc="EDDE1DF4" w:tentative="1">
      <w:start w:val="1"/>
      <w:numFmt w:val="bullet"/>
      <w:lvlText w:val=""/>
      <w:lvlJc w:val="left"/>
      <w:pPr>
        <w:ind w:left="6480" w:hanging="360"/>
      </w:pPr>
      <w:rPr>
        <w:rFonts w:ascii="Wingdings" w:hAnsi="Wingdings" w:hint="default"/>
      </w:rPr>
    </w:lvl>
  </w:abstractNum>
  <w:abstractNum w:abstractNumId="14" w15:restartNumberingAfterBreak="0">
    <w:nsid w:val="399A02BD"/>
    <w:multiLevelType w:val="multilevel"/>
    <w:tmpl w:val="F71803DC"/>
    <w:lvl w:ilvl="0">
      <w:start w:val="3"/>
      <w:numFmt w:val="decimal"/>
      <w:lvlText w:val="%1."/>
      <w:lvlJc w:val="left"/>
      <w:pPr>
        <w:ind w:left="360" w:hanging="360"/>
      </w:pPr>
      <w:rPr>
        <w:rFonts w:hint="default"/>
        <w:b w:val="0"/>
        <w:bCs w:val="0"/>
        <w:i w:val="0"/>
        <w:iCs w:val="0"/>
        <w:caps w:val="0"/>
        <w:strike w:val="0"/>
        <w:dstrike w:val="0"/>
        <w:vanish w:val="0"/>
        <w:color w:val="000000"/>
        <w:spacing w:val="0"/>
        <w:kern w:val="0"/>
        <w:position w:val="0"/>
        <w:u w:val="none"/>
        <w:effect w:val="none"/>
        <w:vertAlign w:val="baseline"/>
        <w14:ligatures w14:val="none"/>
        <w14:numForm w14:val="default"/>
        <w14:numSpacing w14:val="default"/>
        <w14:stylisticSets/>
        <w14:cntxtAlts w14:val="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A35660"/>
    <w:multiLevelType w:val="hybridMultilevel"/>
    <w:tmpl w:val="B694E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927A0E"/>
    <w:multiLevelType w:val="hybridMultilevel"/>
    <w:tmpl w:val="9758AAFC"/>
    <w:lvl w:ilvl="0" w:tplc="4B72C09C">
      <w:numFmt w:val="bullet"/>
      <w:lvlText w:val="•"/>
      <w:lvlJc w:val="left"/>
      <w:pPr>
        <w:ind w:left="720" w:hanging="360"/>
      </w:pPr>
      <w:rPr>
        <w:rFonts w:ascii="Gotham Book" w:eastAsiaTheme="minorHAnsi" w:hAnsi="Gotham Book"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062CE7"/>
    <w:multiLevelType w:val="hybridMultilevel"/>
    <w:tmpl w:val="A3E40A42"/>
    <w:lvl w:ilvl="0" w:tplc="662E5232">
      <w:start w:val="1"/>
      <w:numFmt w:val="bullet"/>
      <w:lvlText w:val=""/>
      <w:lvlJc w:val="left"/>
      <w:pPr>
        <w:ind w:left="720" w:hanging="360"/>
      </w:pPr>
      <w:rPr>
        <w:rFonts w:ascii="Symbol" w:hAnsi="Symbol" w:hint="default"/>
      </w:rPr>
    </w:lvl>
    <w:lvl w:ilvl="1" w:tplc="AB06B89C" w:tentative="1">
      <w:start w:val="1"/>
      <w:numFmt w:val="bullet"/>
      <w:lvlText w:val="o"/>
      <w:lvlJc w:val="left"/>
      <w:pPr>
        <w:ind w:left="1440" w:hanging="360"/>
      </w:pPr>
      <w:rPr>
        <w:rFonts w:ascii="Courier New" w:hAnsi="Courier New" w:cs="Courier New" w:hint="default"/>
      </w:rPr>
    </w:lvl>
    <w:lvl w:ilvl="2" w:tplc="D3C0068A" w:tentative="1">
      <w:start w:val="1"/>
      <w:numFmt w:val="bullet"/>
      <w:lvlText w:val=""/>
      <w:lvlJc w:val="left"/>
      <w:pPr>
        <w:ind w:left="2160" w:hanging="360"/>
      </w:pPr>
      <w:rPr>
        <w:rFonts w:ascii="Wingdings" w:hAnsi="Wingdings" w:hint="default"/>
      </w:rPr>
    </w:lvl>
    <w:lvl w:ilvl="3" w:tplc="2F74C86A" w:tentative="1">
      <w:start w:val="1"/>
      <w:numFmt w:val="bullet"/>
      <w:lvlText w:val=""/>
      <w:lvlJc w:val="left"/>
      <w:pPr>
        <w:ind w:left="2880" w:hanging="360"/>
      </w:pPr>
      <w:rPr>
        <w:rFonts w:ascii="Symbol" w:hAnsi="Symbol" w:hint="default"/>
      </w:rPr>
    </w:lvl>
    <w:lvl w:ilvl="4" w:tplc="0C1AC540" w:tentative="1">
      <w:start w:val="1"/>
      <w:numFmt w:val="bullet"/>
      <w:lvlText w:val="o"/>
      <w:lvlJc w:val="left"/>
      <w:pPr>
        <w:ind w:left="3600" w:hanging="360"/>
      </w:pPr>
      <w:rPr>
        <w:rFonts w:ascii="Courier New" w:hAnsi="Courier New" w:cs="Courier New" w:hint="default"/>
      </w:rPr>
    </w:lvl>
    <w:lvl w:ilvl="5" w:tplc="BA2E238A" w:tentative="1">
      <w:start w:val="1"/>
      <w:numFmt w:val="bullet"/>
      <w:lvlText w:val=""/>
      <w:lvlJc w:val="left"/>
      <w:pPr>
        <w:ind w:left="4320" w:hanging="360"/>
      </w:pPr>
      <w:rPr>
        <w:rFonts w:ascii="Wingdings" w:hAnsi="Wingdings" w:hint="default"/>
      </w:rPr>
    </w:lvl>
    <w:lvl w:ilvl="6" w:tplc="E57EBB4A" w:tentative="1">
      <w:start w:val="1"/>
      <w:numFmt w:val="bullet"/>
      <w:lvlText w:val=""/>
      <w:lvlJc w:val="left"/>
      <w:pPr>
        <w:ind w:left="5040" w:hanging="360"/>
      </w:pPr>
      <w:rPr>
        <w:rFonts w:ascii="Symbol" w:hAnsi="Symbol" w:hint="default"/>
      </w:rPr>
    </w:lvl>
    <w:lvl w:ilvl="7" w:tplc="B5143E4C" w:tentative="1">
      <w:start w:val="1"/>
      <w:numFmt w:val="bullet"/>
      <w:lvlText w:val="o"/>
      <w:lvlJc w:val="left"/>
      <w:pPr>
        <w:ind w:left="5760" w:hanging="360"/>
      </w:pPr>
      <w:rPr>
        <w:rFonts w:ascii="Courier New" w:hAnsi="Courier New" w:cs="Courier New" w:hint="default"/>
      </w:rPr>
    </w:lvl>
    <w:lvl w:ilvl="8" w:tplc="5E685892" w:tentative="1">
      <w:start w:val="1"/>
      <w:numFmt w:val="bullet"/>
      <w:lvlText w:val=""/>
      <w:lvlJc w:val="left"/>
      <w:pPr>
        <w:ind w:left="6480" w:hanging="360"/>
      </w:pPr>
      <w:rPr>
        <w:rFonts w:ascii="Wingdings" w:hAnsi="Wingdings" w:hint="default"/>
      </w:rPr>
    </w:lvl>
  </w:abstractNum>
  <w:abstractNum w:abstractNumId="18" w15:restartNumberingAfterBreak="0">
    <w:nsid w:val="4AF32269"/>
    <w:multiLevelType w:val="hybridMultilevel"/>
    <w:tmpl w:val="2F80C320"/>
    <w:lvl w:ilvl="0" w:tplc="688C1FE2">
      <w:start w:val="1"/>
      <w:numFmt w:val="decimal"/>
      <w:pStyle w:val="Heading3"/>
      <w:lvlText w:val="%1."/>
      <w:lvlJc w:val="left"/>
      <w:pPr>
        <w:ind w:left="360" w:hanging="360"/>
      </w:pPr>
    </w:lvl>
    <w:lvl w:ilvl="1" w:tplc="7F4C0D6E" w:tentative="1">
      <w:start w:val="1"/>
      <w:numFmt w:val="lowerLetter"/>
      <w:lvlText w:val="%2."/>
      <w:lvlJc w:val="left"/>
      <w:pPr>
        <w:ind w:left="1080" w:hanging="360"/>
      </w:pPr>
    </w:lvl>
    <w:lvl w:ilvl="2" w:tplc="AD589662" w:tentative="1">
      <w:start w:val="1"/>
      <w:numFmt w:val="lowerRoman"/>
      <w:lvlText w:val="%3."/>
      <w:lvlJc w:val="right"/>
      <w:pPr>
        <w:ind w:left="1800" w:hanging="180"/>
      </w:pPr>
    </w:lvl>
    <w:lvl w:ilvl="3" w:tplc="AB00A486" w:tentative="1">
      <w:start w:val="1"/>
      <w:numFmt w:val="decimal"/>
      <w:lvlText w:val="%4."/>
      <w:lvlJc w:val="left"/>
      <w:pPr>
        <w:ind w:left="2520" w:hanging="360"/>
      </w:pPr>
    </w:lvl>
    <w:lvl w:ilvl="4" w:tplc="19B21040" w:tentative="1">
      <w:start w:val="1"/>
      <w:numFmt w:val="lowerLetter"/>
      <w:lvlText w:val="%5."/>
      <w:lvlJc w:val="left"/>
      <w:pPr>
        <w:ind w:left="3240" w:hanging="360"/>
      </w:pPr>
    </w:lvl>
    <w:lvl w:ilvl="5" w:tplc="C05CFD58" w:tentative="1">
      <w:start w:val="1"/>
      <w:numFmt w:val="lowerRoman"/>
      <w:lvlText w:val="%6."/>
      <w:lvlJc w:val="right"/>
      <w:pPr>
        <w:ind w:left="3960" w:hanging="180"/>
      </w:pPr>
    </w:lvl>
    <w:lvl w:ilvl="6" w:tplc="E1C02CDC" w:tentative="1">
      <w:start w:val="1"/>
      <w:numFmt w:val="decimal"/>
      <w:lvlText w:val="%7."/>
      <w:lvlJc w:val="left"/>
      <w:pPr>
        <w:ind w:left="4680" w:hanging="360"/>
      </w:pPr>
    </w:lvl>
    <w:lvl w:ilvl="7" w:tplc="7BDADA8C" w:tentative="1">
      <w:start w:val="1"/>
      <w:numFmt w:val="lowerLetter"/>
      <w:lvlText w:val="%8."/>
      <w:lvlJc w:val="left"/>
      <w:pPr>
        <w:ind w:left="5400" w:hanging="360"/>
      </w:pPr>
    </w:lvl>
    <w:lvl w:ilvl="8" w:tplc="A58432A6" w:tentative="1">
      <w:start w:val="1"/>
      <w:numFmt w:val="lowerRoman"/>
      <w:lvlText w:val="%9."/>
      <w:lvlJc w:val="right"/>
      <w:pPr>
        <w:ind w:left="6120" w:hanging="180"/>
      </w:pPr>
    </w:lvl>
  </w:abstractNum>
  <w:abstractNum w:abstractNumId="19" w15:restartNumberingAfterBreak="0">
    <w:nsid w:val="4CA647A0"/>
    <w:multiLevelType w:val="hybridMultilevel"/>
    <w:tmpl w:val="47EE06A6"/>
    <w:lvl w:ilvl="0" w:tplc="F3D02664">
      <w:start w:val="5"/>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DAF7099"/>
    <w:multiLevelType w:val="hybridMultilevel"/>
    <w:tmpl w:val="DDA0F322"/>
    <w:lvl w:ilvl="0" w:tplc="4B72C09C">
      <w:numFmt w:val="bullet"/>
      <w:lvlText w:val="•"/>
      <w:lvlJc w:val="left"/>
      <w:pPr>
        <w:ind w:left="720" w:hanging="360"/>
      </w:pPr>
      <w:rPr>
        <w:rFonts w:ascii="Gotham Book" w:eastAsiaTheme="minorHAnsi" w:hAnsi="Gotham Book"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5444FA"/>
    <w:multiLevelType w:val="hybridMultilevel"/>
    <w:tmpl w:val="DC22974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2" w15:restartNumberingAfterBreak="0">
    <w:nsid w:val="5BCF7117"/>
    <w:multiLevelType w:val="hybridMultilevel"/>
    <w:tmpl w:val="8280D4F8"/>
    <w:lvl w:ilvl="0" w:tplc="CAD62AA8">
      <w:start w:val="1"/>
      <w:numFmt w:val="decimal"/>
      <w:pStyle w:val="Heading2"/>
      <w:lvlText w:val="%1."/>
      <w:lvlJc w:val="left"/>
      <w:pPr>
        <w:ind w:left="4897" w:hanging="360"/>
      </w:pPr>
      <w:rPr>
        <w:rFonts w:hint="default"/>
      </w:rPr>
    </w:lvl>
    <w:lvl w:ilvl="1" w:tplc="B21C5442" w:tentative="1">
      <w:start w:val="1"/>
      <w:numFmt w:val="lowerLetter"/>
      <w:lvlText w:val="%2."/>
      <w:lvlJc w:val="left"/>
      <w:pPr>
        <w:ind w:left="796" w:hanging="360"/>
      </w:pPr>
    </w:lvl>
    <w:lvl w:ilvl="2" w:tplc="CE0AEDBA" w:tentative="1">
      <w:start w:val="1"/>
      <w:numFmt w:val="lowerRoman"/>
      <w:lvlText w:val="%3."/>
      <w:lvlJc w:val="right"/>
      <w:pPr>
        <w:ind w:left="1516" w:hanging="180"/>
      </w:pPr>
    </w:lvl>
    <w:lvl w:ilvl="3" w:tplc="AD1C8330" w:tentative="1">
      <w:start w:val="1"/>
      <w:numFmt w:val="decimal"/>
      <w:lvlText w:val="%4."/>
      <w:lvlJc w:val="left"/>
      <w:pPr>
        <w:ind w:left="2236" w:hanging="360"/>
      </w:pPr>
    </w:lvl>
    <w:lvl w:ilvl="4" w:tplc="715E972C" w:tentative="1">
      <w:start w:val="1"/>
      <w:numFmt w:val="lowerLetter"/>
      <w:lvlText w:val="%5."/>
      <w:lvlJc w:val="left"/>
      <w:pPr>
        <w:ind w:left="2956" w:hanging="360"/>
      </w:pPr>
    </w:lvl>
    <w:lvl w:ilvl="5" w:tplc="0284C0A8" w:tentative="1">
      <w:start w:val="1"/>
      <w:numFmt w:val="lowerRoman"/>
      <w:lvlText w:val="%6."/>
      <w:lvlJc w:val="right"/>
      <w:pPr>
        <w:ind w:left="3676" w:hanging="180"/>
      </w:pPr>
    </w:lvl>
    <w:lvl w:ilvl="6" w:tplc="88D86FF2" w:tentative="1">
      <w:start w:val="1"/>
      <w:numFmt w:val="decimal"/>
      <w:lvlText w:val="%7."/>
      <w:lvlJc w:val="left"/>
      <w:pPr>
        <w:ind w:left="4396" w:hanging="360"/>
      </w:pPr>
    </w:lvl>
    <w:lvl w:ilvl="7" w:tplc="EFDA23F0" w:tentative="1">
      <w:start w:val="1"/>
      <w:numFmt w:val="lowerLetter"/>
      <w:lvlText w:val="%8."/>
      <w:lvlJc w:val="left"/>
      <w:pPr>
        <w:ind w:left="5116" w:hanging="360"/>
      </w:pPr>
    </w:lvl>
    <w:lvl w:ilvl="8" w:tplc="3B9C565C" w:tentative="1">
      <w:start w:val="1"/>
      <w:numFmt w:val="lowerRoman"/>
      <w:lvlText w:val="%9."/>
      <w:lvlJc w:val="right"/>
      <w:pPr>
        <w:ind w:left="5836" w:hanging="180"/>
      </w:pPr>
    </w:lvl>
  </w:abstractNum>
  <w:abstractNum w:abstractNumId="23" w15:restartNumberingAfterBreak="0">
    <w:nsid w:val="5D8B5C4F"/>
    <w:multiLevelType w:val="multilevel"/>
    <w:tmpl w:val="804674FE"/>
    <w:lvl w:ilvl="0">
      <w:start w:val="5"/>
      <w:numFmt w:val="decimal"/>
      <w:lvlText w:val="%1."/>
      <w:lvlJc w:val="left"/>
      <w:pPr>
        <w:ind w:left="360" w:hanging="360"/>
      </w:pPr>
      <w:rPr>
        <w:rFonts w:hint="default"/>
        <w:b w:val="0"/>
        <w:bCs w:val="0"/>
        <w:i w:val="0"/>
        <w:iCs w:val="0"/>
        <w:caps w:val="0"/>
        <w:strike w:val="0"/>
        <w:dstrike w:val="0"/>
        <w:vanish w:val="0"/>
        <w:color w:val="000000"/>
        <w:spacing w:val="0"/>
        <w:kern w:val="0"/>
        <w:position w:val="0"/>
        <w:u w:val="none"/>
        <w:effect w:val="none"/>
        <w:vertAlign w:val="baseli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2A363E"/>
    <w:multiLevelType w:val="hybridMultilevel"/>
    <w:tmpl w:val="606ECF06"/>
    <w:lvl w:ilvl="0" w:tplc="01D0FA94">
      <w:start w:val="1"/>
      <w:numFmt w:val="bullet"/>
      <w:lvlText w:val=""/>
      <w:lvlJc w:val="left"/>
      <w:pPr>
        <w:ind w:left="720" w:hanging="360"/>
      </w:pPr>
      <w:rPr>
        <w:rFonts w:ascii="Symbol" w:hAnsi="Symbol" w:hint="default"/>
      </w:rPr>
    </w:lvl>
    <w:lvl w:ilvl="1" w:tplc="C9705146" w:tentative="1">
      <w:start w:val="1"/>
      <w:numFmt w:val="bullet"/>
      <w:lvlText w:val="o"/>
      <w:lvlJc w:val="left"/>
      <w:pPr>
        <w:ind w:left="1440" w:hanging="360"/>
      </w:pPr>
      <w:rPr>
        <w:rFonts w:ascii="Courier New" w:hAnsi="Courier New" w:cs="Courier New" w:hint="default"/>
      </w:rPr>
    </w:lvl>
    <w:lvl w:ilvl="2" w:tplc="741E2A64" w:tentative="1">
      <w:start w:val="1"/>
      <w:numFmt w:val="bullet"/>
      <w:lvlText w:val=""/>
      <w:lvlJc w:val="left"/>
      <w:pPr>
        <w:ind w:left="2160" w:hanging="360"/>
      </w:pPr>
      <w:rPr>
        <w:rFonts w:ascii="Wingdings" w:hAnsi="Wingdings" w:hint="default"/>
      </w:rPr>
    </w:lvl>
    <w:lvl w:ilvl="3" w:tplc="ACA84CBC" w:tentative="1">
      <w:start w:val="1"/>
      <w:numFmt w:val="bullet"/>
      <w:lvlText w:val=""/>
      <w:lvlJc w:val="left"/>
      <w:pPr>
        <w:ind w:left="2880" w:hanging="360"/>
      </w:pPr>
      <w:rPr>
        <w:rFonts w:ascii="Symbol" w:hAnsi="Symbol" w:hint="default"/>
      </w:rPr>
    </w:lvl>
    <w:lvl w:ilvl="4" w:tplc="60E6C030" w:tentative="1">
      <w:start w:val="1"/>
      <w:numFmt w:val="bullet"/>
      <w:lvlText w:val="o"/>
      <w:lvlJc w:val="left"/>
      <w:pPr>
        <w:ind w:left="3600" w:hanging="360"/>
      </w:pPr>
      <w:rPr>
        <w:rFonts w:ascii="Courier New" w:hAnsi="Courier New" w:cs="Courier New" w:hint="default"/>
      </w:rPr>
    </w:lvl>
    <w:lvl w:ilvl="5" w:tplc="746A9480" w:tentative="1">
      <w:start w:val="1"/>
      <w:numFmt w:val="bullet"/>
      <w:lvlText w:val=""/>
      <w:lvlJc w:val="left"/>
      <w:pPr>
        <w:ind w:left="4320" w:hanging="360"/>
      </w:pPr>
      <w:rPr>
        <w:rFonts w:ascii="Wingdings" w:hAnsi="Wingdings" w:hint="default"/>
      </w:rPr>
    </w:lvl>
    <w:lvl w:ilvl="6" w:tplc="991EB434" w:tentative="1">
      <w:start w:val="1"/>
      <w:numFmt w:val="bullet"/>
      <w:lvlText w:val=""/>
      <w:lvlJc w:val="left"/>
      <w:pPr>
        <w:ind w:left="5040" w:hanging="360"/>
      </w:pPr>
      <w:rPr>
        <w:rFonts w:ascii="Symbol" w:hAnsi="Symbol" w:hint="default"/>
      </w:rPr>
    </w:lvl>
    <w:lvl w:ilvl="7" w:tplc="A372F7B2" w:tentative="1">
      <w:start w:val="1"/>
      <w:numFmt w:val="bullet"/>
      <w:lvlText w:val="o"/>
      <w:lvlJc w:val="left"/>
      <w:pPr>
        <w:ind w:left="5760" w:hanging="360"/>
      </w:pPr>
      <w:rPr>
        <w:rFonts w:ascii="Courier New" w:hAnsi="Courier New" w:cs="Courier New" w:hint="default"/>
      </w:rPr>
    </w:lvl>
    <w:lvl w:ilvl="8" w:tplc="107A5474" w:tentative="1">
      <w:start w:val="1"/>
      <w:numFmt w:val="bullet"/>
      <w:lvlText w:val=""/>
      <w:lvlJc w:val="left"/>
      <w:pPr>
        <w:ind w:left="6480" w:hanging="360"/>
      </w:pPr>
      <w:rPr>
        <w:rFonts w:ascii="Wingdings" w:hAnsi="Wingdings" w:hint="default"/>
      </w:rPr>
    </w:lvl>
  </w:abstractNum>
  <w:abstractNum w:abstractNumId="25" w15:restartNumberingAfterBreak="0">
    <w:nsid w:val="67D24187"/>
    <w:multiLevelType w:val="hybridMultilevel"/>
    <w:tmpl w:val="4B86C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8F00E4B"/>
    <w:multiLevelType w:val="multilevel"/>
    <w:tmpl w:val="25BE4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844723"/>
    <w:multiLevelType w:val="hybridMultilevel"/>
    <w:tmpl w:val="8A0A247A"/>
    <w:lvl w:ilvl="0" w:tplc="4B72C09C">
      <w:numFmt w:val="bullet"/>
      <w:lvlText w:val="•"/>
      <w:lvlJc w:val="left"/>
      <w:pPr>
        <w:ind w:left="720" w:hanging="360"/>
      </w:pPr>
      <w:rPr>
        <w:rFonts w:ascii="Gotham Book" w:eastAsiaTheme="minorHAnsi" w:hAnsi="Gotham Book"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393A2B"/>
    <w:multiLevelType w:val="hybridMultilevel"/>
    <w:tmpl w:val="634A702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637777C"/>
    <w:multiLevelType w:val="hybridMultilevel"/>
    <w:tmpl w:val="665C5FD0"/>
    <w:lvl w:ilvl="0" w:tplc="F3D02664">
      <w:start w:val="5"/>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024F04"/>
    <w:multiLevelType w:val="hybridMultilevel"/>
    <w:tmpl w:val="032E6E06"/>
    <w:lvl w:ilvl="0" w:tplc="4B72C09C">
      <w:numFmt w:val="bullet"/>
      <w:lvlText w:val="•"/>
      <w:lvlJc w:val="left"/>
      <w:pPr>
        <w:ind w:left="720" w:hanging="360"/>
      </w:pPr>
      <w:rPr>
        <w:rFonts w:ascii="Gotham Book" w:eastAsiaTheme="minorHAnsi" w:hAnsi="Gotham Book"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5E6BFF"/>
    <w:multiLevelType w:val="multilevel"/>
    <w:tmpl w:val="9F20F614"/>
    <w:lvl w:ilvl="0">
      <w:start w:val="7"/>
      <w:numFmt w:val="decimal"/>
      <w:lvlText w:val="%1."/>
      <w:lvlJc w:val="left"/>
      <w:pPr>
        <w:ind w:left="360" w:hanging="360"/>
      </w:pPr>
      <w:rPr>
        <w:rFonts w:hint="default"/>
        <w:b w:val="0"/>
        <w:bCs w:val="0"/>
        <w:i w:val="0"/>
        <w:iCs w:val="0"/>
        <w:caps w:val="0"/>
        <w:strike w:val="0"/>
        <w:dstrike w:val="0"/>
        <w:vanish w:val="0"/>
        <w:color w:val="000000"/>
        <w:spacing w:val="0"/>
        <w:kern w:val="0"/>
        <w:position w:val="0"/>
        <w:u w:val="none"/>
        <w:effect w:val="none"/>
        <w:vertAlign w:val="baseli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19890302">
    <w:abstractNumId w:val="17"/>
  </w:num>
  <w:num w:numId="2" w16cid:durableId="1597402973">
    <w:abstractNumId w:val="18"/>
  </w:num>
  <w:num w:numId="3" w16cid:durableId="428309223">
    <w:abstractNumId w:val="22"/>
  </w:num>
  <w:num w:numId="4" w16cid:durableId="1167012056">
    <w:abstractNumId w:val="1"/>
  </w:num>
  <w:num w:numId="5" w16cid:durableId="788546711">
    <w:abstractNumId w:val="2"/>
  </w:num>
  <w:num w:numId="6" w16cid:durableId="1721518186">
    <w:abstractNumId w:val="4"/>
  </w:num>
  <w:num w:numId="7" w16cid:durableId="317997447">
    <w:abstractNumId w:val="11"/>
  </w:num>
  <w:num w:numId="8" w16cid:durableId="216357539">
    <w:abstractNumId w:val="6"/>
  </w:num>
  <w:num w:numId="9" w16cid:durableId="180357079">
    <w:abstractNumId w:val="14"/>
  </w:num>
  <w:num w:numId="10" w16cid:durableId="1537498286">
    <w:abstractNumId w:val="31"/>
  </w:num>
  <w:num w:numId="11" w16cid:durableId="647170804">
    <w:abstractNumId w:val="23"/>
  </w:num>
  <w:num w:numId="12" w16cid:durableId="613175297">
    <w:abstractNumId w:val="13"/>
  </w:num>
  <w:num w:numId="13" w16cid:durableId="1623656149">
    <w:abstractNumId w:val="24"/>
  </w:num>
  <w:num w:numId="14" w16cid:durableId="1719933846">
    <w:abstractNumId w:val="3"/>
  </w:num>
  <w:num w:numId="15" w16cid:durableId="105931608">
    <w:abstractNumId w:val="25"/>
  </w:num>
  <w:num w:numId="16" w16cid:durableId="1499926212">
    <w:abstractNumId w:val="19"/>
  </w:num>
  <w:num w:numId="17" w16cid:durableId="649141417">
    <w:abstractNumId w:val="29"/>
  </w:num>
  <w:num w:numId="18" w16cid:durableId="1133594187">
    <w:abstractNumId w:val="26"/>
    <w:lvlOverride w:ilvl="0">
      <w:startOverride w:val="1"/>
    </w:lvlOverride>
  </w:num>
  <w:num w:numId="19" w16cid:durableId="686249698">
    <w:abstractNumId w:val="8"/>
    <w:lvlOverride w:ilvl="0">
      <w:startOverride w:val="10"/>
    </w:lvlOverride>
  </w:num>
  <w:num w:numId="20" w16cid:durableId="572545412">
    <w:abstractNumId w:val="21"/>
  </w:num>
  <w:num w:numId="21" w16cid:durableId="260069906">
    <w:abstractNumId w:val="15"/>
  </w:num>
  <w:num w:numId="22" w16cid:durableId="492182680">
    <w:abstractNumId w:val="16"/>
  </w:num>
  <w:num w:numId="23" w16cid:durableId="284582384">
    <w:abstractNumId w:val="30"/>
  </w:num>
  <w:num w:numId="24" w16cid:durableId="2063751417">
    <w:abstractNumId w:val="5"/>
  </w:num>
  <w:num w:numId="25" w16cid:durableId="1754862348">
    <w:abstractNumId w:val="27"/>
  </w:num>
  <w:num w:numId="26" w16cid:durableId="1259219091">
    <w:abstractNumId w:val="20"/>
  </w:num>
  <w:num w:numId="27" w16cid:durableId="393747755">
    <w:abstractNumId w:val="12"/>
  </w:num>
  <w:num w:numId="28" w16cid:durableId="1469666133">
    <w:abstractNumId w:val="10"/>
  </w:num>
  <w:num w:numId="29" w16cid:durableId="296641803">
    <w:abstractNumId w:val="9"/>
  </w:num>
  <w:num w:numId="30" w16cid:durableId="1234048933">
    <w:abstractNumId w:val="0"/>
  </w:num>
  <w:num w:numId="31" w16cid:durableId="2128423212">
    <w:abstractNumId w:val="7"/>
  </w:num>
  <w:num w:numId="32" w16cid:durableId="1382823396">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wre9sdd9ewpsze2awdxrr2irer5apvvzstv&quot;&gt;Guideline Handbook&lt;record-ids&gt;&lt;item&gt;712&lt;/item&gt;&lt;item&gt;1032&lt;/item&gt;&lt;item&gt;1329&lt;/item&gt;&lt;item&gt;1367&lt;/item&gt;&lt;item&gt;1374&lt;/item&gt;&lt;item&gt;1376&lt;/item&gt;&lt;item&gt;1377&lt;/item&gt;&lt;item&gt;1380&lt;/item&gt;&lt;item&gt;1381&lt;/item&gt;&lt;item&gt;1382&lt;/item&gt;&lt;item&gt;1392&lt;/item&gt;&lt;item&gt;1403&lt;/item&gt;&lt;item&gt;1404&lt;/item&gt;&lt;item&gt;1433&lt;/item&gt;&lt;item&gt;1444&lt;/item&gt;&lt;item&gt;1448&lt;/item&gt;&lt;item&gt;1624&lt;/item&gt;&lt;item&gt;1625&lt;/item&gt;&lt;item&gt;1645&lt;/item&gt;&lt;/record-ids&gt;&lt;/item&gt;&lt;/Libraries&gt;"/>
  </w:docVars>
  <w:rsids>
    <w:rsidRoot w:val="00F43C8E"/>
    <w:rsid w:val="00000F91"/>
    <w:rsid w:val="00002CF8"/>
    <w:rsid w:val="000042F0"/>
    <w:rsid w:val="00004C14"/>
    <w:rsid w:val="00006525"/>
    <w:rsid w:val="00010108"/>
    <w:rsid w:val="00010FE5"/>
    <w:rsid w:val="000121F5"/>
    <w:rsid w:val="00012F4D"/>
    <w:rsid w:val="00015E13"/>
    <w:rsid w:val="000162B7"/>
    <w:rsid w:val="000223C0"/>
    <w:rsid w:val="00024933"/>
    <w:rsid w:val="00025692"/>
    <w:rsid w:val="00025746"/>
    <w:rsid w:val="000315D9"/>
    <w:rsid w:val="000333BD"/>
    <w:rsid w:val="00033B6F"/>
    <w:rsid w:val="00033C66"/>
    <w:rsid w:val="00034DDD"/>
    <w:rsid w:val="0003740E"/>
    <w:rsid w:val="000379DD"/>
    <w:rsid w:val="00040382"/>
    <w:rsid w:val="00040F63"/>
    <w:rsid w:val="00041770"/>
    <w:rsid w:val="00045D93"/>
    <w:rsid w:val="0004662F"/>
    <w:rsid w:val="00046E94"/>
    <w:rsid w:val="00050CE0"/>
    <w:rsid w:val="00051A99"/>
    <w:rsid w:val="000550E2"/>
    <w:rsid w:val="000555AD"/>
    <w:rsid w:val="00056756"/>
    <w:rsid w:val="00060D13"/>
    <w:rsid w:val="0006168E"/>
    <w:rsid w:val="000628F2"/>
    <w:rsid w:val="00062942"/>
    <w:rsid w:val="00062EA6"/>
    <w:rsid w:val="00063E17"/>
    <w:rsid w:val="00064959"/>
    <w:rsid w:val="000656CF"/>
    <w:rsid w:val="00065872"/>
    <w:rsid w:val="0007209D"/>
    <w:rsid w:val="000755A3"/>
    <w:rsid w:val="00075A4E"/>
    <w:rsid w:val="0007636D"/>
    <w:rsid w:val="00076C14"/>
    <w:rsid w:val="0007763D"/>
    <w:rsid w:val="0008119C"/>
    <w:rsid w:val="00082ACD"/>
    <w:rsid w:val="00084C45"/>
    <w:rsid w:val="00084DDB"/>
    <w:rsid w:val="00085D7F"/>
    <w:rsid w:val="00087F87"/>
    <w:rsid w:val="00092269"/>
    <w:rsid w:val="00093D1B"/>
    <w:rsid w:val="00095BB4"/>
    <w:rsid w:val="000A1345"/>
    <w:rsid w:val="000A16B6"/>
    <w:rsid w:val="000A193B"/>
    <w:rsid w:val="000A3879"/>
    <w:rsid w:val="000A5595"/>
    <w:rsid w:val="000A59BE"/>
    <w:rsid w:val="000A6059"/>
    <w:rsid w:val="000A7392"/>
    <w:rsid w:val="000A7F0C"/>
    <w:rsid w:val="000B229E"/>
    <w:rsid w:val="000B34A8"/>
    <w:rsid w:val="000B6590"/>
    <w:rsid w:val="000C0D09"/>
    <w:rsid w:val="000C0E77"/>
    <w:rsid w:val="000C33A9"/>
    <w:rsid w:val="000C36BE"/>
    <w:rsid w:val="000C598F"/>
    <w:rsid w:val="000C5BA8"/>
    <w:rsid w:val="000C62C2"/>
    <w:rsid w:val="000D0397"/>
    <w:rsid w:val="000D25FE"/>
    <w:rsid w:val="000D3F62"/>
    <w:rsid w:val="000D4127"/>
    <w:rsid w:val="000D5518"/>
    <w:rsid w:val="000D5999"/>
    <w:rsid w:val="000D7890"/>
    <w:rsid w:val="000D7EEE"/>
    <w:rsid w:val="000E0050"/>
    <w:rsid w:val="000E26A3"/>
    <w:rsid w:val="000E3DAE"/>
    <w:rsid w:val="000E3F15"/>
    <w:rsid w:val="000E5D64"/>
    <w:rsid w:val="000E76BA"/>
    <w:rsid w:val="000F0B95"/>
    <w:rsid w:val="000F23A6"/>
    <w:rsid w:val="000F2709"/>
    <w:rsid w:val="000F2CAB"/>
    <w:rsid w:val="000F3327"/>
    <w:rsid w:val="000F52C5"/>
    <w:rsid w:val="000F53A0"/>
    <w:rsid w:val="000F736A"/>
    <w:rsid w:val="000F7D8E"/>
    <w:rsid w:val="0010057F"/>
    <w:rsid w:val="00100F04"/>
    <w:rsid w:val="001048E2"/>
    <w:rsid w:val="001061BF"/>
    <w:rsid w:val="0010648B"/>
    <w:rsid w:val="00106BF1"/>
    <w:rsid w:val="00110287"/>
    <w:rsid w:val="00110934"/>
    <w:rsid w:val="001109D5"/>
    <w:rsid w:val="00110A53"/>
    <w:rsid w:val="00110D9C"/>
    <w:rsid w:val="0011140A"/>
    <w:rsid w:val="0011164A"/>
    <w:rsid w:val="00117A9F"/>
    <w:rsid w:val="00120DAA"/>
    <w:rsid w:val="00122D28"/>
    <w:rsid w:val="00122DA8"/>
    <w:rsid w:val="0012328F"/>
    <w:rsid w:val="001267E6"/>
    <w:rsid w:val="00130C92"/>
    <w:rsid w:val="00132DAB"/>
    <w:rsid w:val="001334EC"/>
    <w:rsid w:val="001343FB"/>
    <w:rsid w:val="00134BB3"/>
    <w:rsid w:val="001361BF"/>
    <w:rsid w:val="001368ED"/>
    <w:rsid w:val="00136E80"/>
    <w:rsid w:val="001411E5"/>
    <w:rsid w:val="0014270E"/>
    <w:rsid w:val="00142CC8"/>
    <w:rsid w:val="00144E21"/>
    <w:rsid w:val="00144E3D"/>
    <w:rsid w:val="001453D4"/>
    <w:rsid w:val="0014701D"/>
    <w:rsid w:val="001473BD"/>
    <w:rsid w:val="00152497"/>
    <w:rsid w:val="0015380E"/>
    <w:rsid w:val="00154E2F"/>
    <w:rsid w:val="001553FA"/>
    <w:rsid w:val="001572A9"/>
    <w:rsid w:val="00161722"/>
    <w:rsid w:val="00161765"/>
    <w:rsid w:val="0016477F"/>
    <w:rsid w:val="00172445"/>
    <w:rsid w:val="00175584"/>
    <w:rsid w:val="001769A2"/>
    <w:rsid w:val="00180AB4"/>
    <w:rsid w:val="00180FE8"/>
    <w:rsid w:val="00181242"/>
    <w:rsid w:val="00181781"/>
    <w:rsid w:val="00181DAD"/>
    <w:rsid w:val="0018418D"/>
    <w:rsid w:val="00184401"/>
    <w:rsid w:val="001852E0"/>
    <w:rsid w:val="00186A3E"/>
    <w:rsid w:val="00190D74"/>
    <w:rsid w:val="0019274C"/>
    <w:rsid w:val="00193D44"/>
    <w:rsid w:val="0019442D"/>
    <w:rsid w:val="00194649"/>
    <w:rsid w:val="00194B38"/>
    <w:rsid w:val="0019559A"/>
    <w:rsid w:val="00195F45"/>
    <w:rsid w:val="001A0EC1"/>
    <w:rsid w:val="001A1732"/>
    <w:rsid w:val="001A1E94"/>
    <w:rsid w:val="001A1EDB"/>
    <w:rsid w:val="001A221A"/>
    <w:rsid w:val="001A3C2B"/>
    <w:rsid w:val="001A7B4F"/>
    <w:rsid w:val="001B0102"/>
    <w:rsid w:val="001B13B1"/>
    <w:rsid w:val="001B17BD"/>
    <w:rsid w:val="001B17EB"/>
    <w:rsid w:val="001B31FB"/>
    <w:rsid w:val="001B504B"/>
    <w:rsid w:val="001B558A"/>
    <w:rsid w:val="001B5CBD"/>
    <w:rsid w:val="001B7FA4"/>
    <w:rsid w:val="001C0160"/>
    <w:rsid w:val="001C04DC"/>
    <w:rsid w:val="001C0CF7"/>
    <w:rsid w:val="001C0F7E"/>
    <w:rsid w:val="001C3BA1"/>
    <w:rsid w:val="001C5CC5"/>
    <w:rsid w:val="001C5F09"/>
    <w:rsid w:val="001C6231"/>
    <w:rsid w:val="001C7489"/>
    <w:rsid w:val="001D13B8"/>
    <w:rsid w:val="001D2BC4"/>
    <w:rsid w:val="001D2F70"/>
    <w:rsid w:val="001D3E03"/>
    <w:rsid w:val="001D5B3C"/>
    <w:rsid w:val="001D6671"/>
    <w:rsid w:val="001D66E0"/>
    <w:rsid w:val="001D6DB7"/>
    <w:rsid w:val="001D7BC5"/>
    <w:rsid w:val="001E0AFB"/>
    <w:rsid w:val="001E0B03"/>
    <w:rsid w:val="001E0CF0"/>
    <w:rsid w:val="001E11E3"/>
    <w:rsid w:val="001E1320"/>
    <w:rsid w:val="001E29E9"/>
    <w:rsid w:val="001E31BE"/>
    <w:rsid w:val="001E330E"/>
    <w:rsid w:val="001E3F5F"/>
    <w:rsid w:val="001E4E9F"/>
    <w:rsid w:val="001E5C8F"/>
    <w:rsid w:val="001E5EC0"/>
    <w:rsid w:val="001E60C5"/>
    <w:rsid w:val="001E6BD4"/>
    <w:rsid w:val="001E753C"/>
    <w:rsid w:val="001F0608"/>
    <w:rsid w:val="001F33B5"/>
    <w:rsid w:val="001F40A3"/>
    <w:rsid w:val="001F415B"/>
    <w:rsid w:val="0020039D"/>
    <w:rsid w:val="002017E5"/>
    <w:rsid w:val="002103F6"/>
    <w:rsid w:val="002108B3"/>
    <w:rsid w:val="00210F0F"/>
    <w:rsid w:val="00212B8E"/>
    <w:rsid w:val="00214091"/>
    <w:rsid w:val="00214FAE"/>
    <w:rsid w:val="00217E9D"/>
    <w:rsid w:val="00220188"/>
    <w:rsid w:val="00220705"/>
    <w:rsid w:val="00220B9E"/>
    <w:rsid w:val="00220CA1"/>
    <w:rsid w:val="00220D58"/>
    <w:rsid w:val="00221BB2"/>
    <w:rsid w:val="00222472"/>
    <w:rsid w:val="0022341D"/>
    <w:rsid w:val="002238FE"/>
    <w:rsid w:val="00226A17"/>
    <w:rsid w:val="0022755D"/>
    <w:rsid w:val="002300EC"/>
    <w:rsid w:val="00230DDF"/>
    <w:rsid w:val="002320BD"/>
    <w:rsid w:val="00232449"/>
    <w:rsid w:val="0023311D"/>
    <w:rsid w:val="00233369"/>
    <w:rsid w:val="00233530"/>
    <w:rsid w:val="00234502"/>
    <w:rsid w:val="00234E55"/>
    <w:rsid w:val="002368A0"/>
    <w:rsid w:val="002404D5"/>
    <w:rsid w:val="002414DD"/>
    <w:rsid w:val="002417C3"/>
    <w:rsid w:val="00241B29"/>
    <w:rsid w:val="00242A49"/>
    <w:rsid w:val="00243317"/>
    <w:rsid w:val="00243BD8"/>
    <w:rsid w:val="0024435D"/>
    <w:rsid w:val="0024497B"/>
    <w:rsid w:val="00244B84"/>
    <w:rsid w:val="00247069"/>
    <w:rsid w:val="00247B3E"/>
    <w:rsid w:val="00247E8B"/>
    <w:rsid w:val="002508D9"/>
    <w:rsid w:val="00250BD6"/>
    <w:rsid w:val="00251786"/>
    <w:rsid w:val="00252B81"/>
    <w:rsid w:val="00253641"/>
    <w:rsid w:val="0025412D"/>
    <w:rsid w:val="002601B6"/>
    <w:rsid w:val="0026208A"/>
    <w:rsid w:val="002632EC"/>
    <w:rsid w:val="00263904"/>
    <w:rsid w:val="00263FB5"/>
    <w:rsid w:val="00264521"/>
    <w:rsid w:val="00266CA6"/>
    <w:rsid w:val="00266F76"/>
    <w:rsid w:val="00267258"/>
    <w:rsid w:val="00271F19"/>
    <w:rsid w:val="00274354"/>
    <w:rsid w:val="002775C7"/>
    <w:rsid w:val="002840F5"/>
    <w:rsid w:val="00291476"/>
    <w:rsid w:val="00292BBC"/>
    <w:rsid w:val="00293C6E"/>
    <w:rsid w:val="00294E28"/>
    <w:rsid w:val="0029572E"/>
    <w:rsid w:val="00295C2F"/>
    <w:rsid w:val="002972E7"/>
    <w:rsid w:val="00297733"/>
    <w:rsid w:val="00297BF2"/>
    <w:rsid w:val="002A16CD"/>
    <w:rsid w:val="002A4DD2"/>
    <w:rsid w:val="002A6ECE"/>
    <w:rsid w:val="002A7081"/>
    <w:rsid w:val="002A74E8"/>
    <w:rsid w:val="002A7A3B"/>
    <w:rsid w:val="002A7D7F"/>
    <w:rsid w:val="002B0E0C"/>
    <w:rsid w:val="002B40A7"/>
    <w:rsid w:val="002B413C"/>
    <w:rsid w:val="002B555E"/>
    <w:rsid w:val="002B56CE"/>
    <w:rsid w:val="002B56E5"/>
    <w:rsid w:val="002B58E0"/>
    <w:rsid w:val="002B6EE3"/>
    <w:rsid w:val="002B745A"/>
    <w:rsid w:val="002B784B"/>
    <w:rsid w:val="002C166A"/>
    <w:rsid w:val="002C3375"/>
    <w:rsid w:val="002C435E"/>
    <w:rsid w:val="002C4A0F"/>
    <w:rsid w:val="002C6E01"/>
    <w:rsid w:val="002C7FED"/>
    <w:rsid w:val="002D0515"/>
    <w:rsid w:val="002D05DA"/>
    <w:rsid w:val="002D0CE0"/>
    <w:rsid w:val="002D1BAF"/>
    <w:rsid w:val="002D299D"/>
    <w:rsid w:val="002D3CAE"/>
    <w:rsid w:val="002D4D42"/>
    <w:rsid w:val="002E0065"/>
    <w:rsid w:val="002E0775"/>
    <w:rsid w:val="002E23D2"/>
    <w:rsid w:val="002E51B9"/>
    <w:rsid w:val="002E5619"/>
    <w:rsid w:val="002E5DA0"/>
    <w:rsid w:val="002E6161"/>
    <w:rsid w:val="002F0D33"/>
    <w:rsid w:val="002F1C96"/>
    <w:rsid w:val="002F2CF8"/>
    <w:rsid w:val="002F4F87"/>
    <w:rsid w:val="002F53CD"/>
    <w:rsid w:val="002F55FF"/>
    <w:rsid w:val="002F6042"/>
    <w:rsid w:val="002F6343"/>
    <w:rsid w:val="002F673B"/>
    <w:rsid w:val="002F6FFD"/>
    <w:rsid w:val="002F76D2"/>
    <w:rsid w:val="003002BB"/>
    <w:rsid w:val="00302955"/>
    <w:rsid w:val="00302EB0"/>
    <w:rsid w:val="00303885"/>
    <w:rsid w:val="003047A4"/>
    <w:rsid w:val="00304E0F"/>
    <w:rsid w:val="0030539A"/>
    <w:rsid w:val="00306205"/>
    <w:rsid w:val="003062FF"/>
    <w:rsid w:val="00306858"/>
    <w:rsid w:val="00306A36"/>
    <w:rsid w:val="00307810"/>
    <w:rsid w:val="003110E6"/>
    <w:rsid w:val="00311356"/>
    <w:rsid w:val="00312317"/>
    <w:rsid w:val="003135FB"/>
    <w:rsid w:val="00315621"/>
    <w:rsid w:val="00321131"/>
    <w:rsid w:val="00322818"/>
    <w:rsid w:val="00322ADB"/>
    <w:rsid w:val="003254B3"/>
    <w:rsid w:val="0032592D"/>
    <w:rsid w:val="00332D32"/>
    <w:rsid w:val="00333343"/>
    <w:rsid w:val="003347EE"/>
    <w:rsid w:val="00334F03"/>
    <w:rsid w:val="00335A86"/>
    <w:rsid w:val="00335E53"/>
    <w:rsid w:val="00337038"/>
    <w:rsid w:val="00337228"/>
    <w:rsid w:val="00341050"/>
    <w:rsid w:val="00341A8D"/>
    <w:rsid w:val="00342064"/>
    <w:rsid w:val="00342399"/>
    <w:rsid w:val="003432AC"/>
    <w:rsid w:val="00344242"/>
    <w:rsid w:val="003442B0"/>
    <w:rsid w:val="0034592D"/>
    <w:rsid w:val="00345DCB"/>
    <w:rsid w:val="00347583"/>
    <w:rsid w:val="00347B27"/>
    <w:rsid w:val="00351AAD"/>
    <w:rsid w:val="003520B0"/>
    <w:rsid w:val="00352117"/>
    <w:rsid w:val="003526D6"/>
    <w:rsid w:val="00352A47"/>
    <w:rsid w:val="00353983"/>
    <w:rsid w:val="00353F69"/>
    <w:rsid w:val="00355EF5"/>
    <w:rsid w:val="00360917"/>
    <w:rsid w:val="0036465F"/>
    <w:rsid w:val="00364A1C"/>
    <w:rsid w:val="00364EF5"/>
    <w:rsid w:val="00365811"/>
    <w:rsid w:val="00367D71"/>
    <w:rsid w:val="00370029"/>
    <w:rsid w:val="0037228A"/>
    <w:rsid w:val="003730FD"/>
    <w:rsid w:val="0037364D"/>
    <w:rsid w:val="00373B67"/>
    <w:rsid w:val="0037483F"/>
    <w:rsid w:val="0037708D"/>
    <w:rsid w:val="003803F9"/>
    <w:rsid w:val="00380739"/>
    <w:rsid w:val="00385F16"/>
    <w:rsid w:val="00386BBE"/>
    <w:rsid w:val="00386F04"/>
    <w:rsid w:val="00390835"/>
    <w:rsid w:val="00393344"/>
    <w:rsid w:val="00393784"/>
    <w:rsid w:val="00393F06"/>
    <w:rsid w:val="003945D0"/>
    <w:rsid w:val="003955AC"/>
    <w:rsid w:val="003A0768"/>
    <w:rsid w:val="003A0E45"/>
    <w:rsid w:val="003A2E1A"/>
    <w:rsid w:val="003A37F4"/>
    <w:rsid w:val="003A42D9"/>
    <w:rsid w:val="003A48BB"/>
    <w:rsid w:val="003A6483"/>
    <w:rsid w:val="003A6E15"/>
    <w:rsid w:val="003A7055"/>
    <w:rsid w:val="003A75ED"/>
    <w:rsid w:val="003B0C8C"/>
    <w:rsid w:val="003B0EE7"/>
    <w:rsid w:val="003B2574"/>
    <w:rsid w:val="003B2850"/>
    <w:rsid w:val="003B2EE5"/>
    <w:rsid w:val="003B33AD"/>
    <w:rsid w:val="003B3F06"/>
    <w:rsid w:val="003B408B"/>
    <w:rsid w:val="003B44FF"/>
    <w:rsid w:val="003B4AB3"/>
    <w:rsid w:val="003B5536"/>
    <w:rsid w:val="003B5ECB"/>
    <w:rsid w:val="003B74EC"/>
    <w:rsid w:val="003C0B06"/>
    <w:rsid w:val="003C0CBC"/>
    <w:rsid w:val="003C1643"/>
    <w:rsid w:val="003C462E"/>
    <w:rsid w:val="003C52CA"/>
    <w:rsid w:val="003C65C1"/>
    <w:rsid w:val="003C7C08"/>
    <w:rsid w:val="003D0EF9"/>
    <w:rsid w:val="003D3DBD"/>
    <w:rsid w:val="003D4457"/>
    <w:rsid w:val="003D447D"/>
    <w:rsid w:val="003D5219"/>
    <w:rsid w:val="003D54F6"/>
    <w:rsid w:val="003D5CF6"/>
    <w:rsid w:val="003E0C1D"/>
    <w:rsid w:val="003E0F7E"/>
    <w:rsid w:val="003E23EF"/>
    <w:rsid w:val="003E328F"/>
    <w:rsid w:val="003E3662"/>
    <w:rsid w:val="003E4115"/>
    <w:rsid w:val="003E6347"/>
    <w:rsid w:val="003F0894"/>
    <w:rsid w:val="003F1590"/>
    <w:rsid w:val="003F3C5B"/>
    <w:rsid w:val="003F440B"/>
    <w:rsid w:val="004034EE"/>
    <w:rsid w:val="004053C6"/>
    <w:rsid w:val="00406FE9"/>
    <w:rsid w:val="0041101D"/>
    <w:rsid w:val="004111FB"/>
    <w:rsid w:val="00411D22"/>
    <w:rsid w:val="00411F1C"/>
    <w:rsid w:val="00412633"/>
    <w:rsid w:val="004126A5"/>
    <w:rsid w:val="00412D14"/>
    <w:rsid w:val="00416351"/>
    <w:rsid w:val="004165D9"/>
    <w:rsid w:val="00416916"/>
    <w:rsid w:val="00421224"/>
    <w:rsid w:val="00421F46"/>
    <w:rsid w:val="004226C8"/>
    <w:rsid w:val="004244F0"/>
    <w:rsid w:val="00425092"/>
    <w:rsid w:val="0042706E"/>
    <w:rsid w:val="00427811"/>
    <w:rsid w:val="00427FEC"/>
    <w:rsid w:val="004304FE"/>
    <w:rsid w:val="00431686"/>
    <w:rsid w:val="0043352B"/>
    <w:rsid w:val="00433B3A"/>
    <w:rsid w:val="00433DA4"/>
    <w:rsid w:val="00434F66"/>
    <w:rsid w:val="00435014"/>
    <w:rsid w:val="0043568C"/>
    <w:rsid w:val="00435796"/>
    <w:rsid w:val="004368A1"/>
    <w:rsid w:val="00436E77"/>
    <w:rsid w:val="0044295D"/>
    <w:rsid w:val="00444614"/>
    <w:rsid w:val="00446347"/>
    <w:rsid w:val="00446D7C"/>
    <w:rsid w:val="00447BC8"/>
    <w:rsid w:val="00451148"/>
    <w:rsid w:val="004513CA"/>
    <w:rsid w:val="004520D7"/>
    <w:rsid w:val="00453611"/>
    <w:rsid w:val="00453AD4"/>
    <w:rsid w:val="00454B7C"/>
    <w:rsid w:val="004555AA"/>
    <w:rsid w:val="00455B06"/>
    <w:rsid w:val="00455C2A"/>
    <w:rsid w:val="00460212"/>
    <w:rsid w:val="004617CD"/>
    <w:rsid w:val="00462D28"/>
    <w:rsid w:val="00464996"/>
    <w:rsid w:val="00467A8F"/>
    <w:rsid w:val="00473441"/>
    <w:rsid w:val="004747D0"/>
    <w:rsid w:val="0047548B"/>
    <w:rsid w:val="004760D0"/>
    <w:rsid w:val="0047696A"/>
    <w:rsid w:val="0048045F"/>
    <w:rsid w:val="00480B6F"/>
    <w:rsid w:val="004810DC"/>
    <w:rsid w:val="00481310"/>
    <w:rsid w:val="00482233"/>
    <w:rsid w:val="004853A1"/>
    <w:rsid w:val="00485594"/>
    <w:rsid w:val="00485B2C"/>
    <w:rsid w:val="00486A24"/>
    <w:rsid w:val="004923CE"/>
    <w:rsid w:val="0049292F"/>
    <w:rsid w:val="00493297"/>
    <w:rsid w:val="00494019"/>
    <w:rsid w:val="00494555"/>
    <w:rsid w:val="00495A33"/>
    <w:rsid w:val="00495BC8"/>
    <w:rsid w:val="00497E08"/>
    <w:rsid w:val="004A1C67"/>
    <w:rsid w:val="004A2765"/>
    <w:rsid w:val="004A27BF"/>
    <w:rsid w:val="004A3270"/>
    <w:rsid w:val="004A35BA"/>
    <w:rsid w:val="004A3FD5"/>
    <w:rsid w:val="004A7D1E"/>
    <w:rsid w:val="004B0E1A"/>
    <w:rsid w:val="004B17C5"/>
    <w:rsid w:val="004B26AB"/>
    <w:rsid w:val="004B469B"/>
    <w:rsid w:val="004B486C"/>
    <w:rsid w:val="004B70A1"/>
    <w:rsid w:val="004C0E3F"/>
    <w:rsid w:val="004C146F"/>
    <w:rsid w:val="004C2643"/>
    <w:rsid w:val="004C38E6"/>
    <w:rsid w:val="004C6A1B"/>
    <w:rsid w:val="004C7D7E"/>
    <w:rsid w:val="004D0FD0"/>
    <w:rsid w:val="004D28B9"/>
    <w:rsid w:val="004D2E76"/>
    <w:rsid w:val="004D301D"/>
    <w:rsid w:val="004D4162"/>
    <w:rsid w:val="004D4A63"/>
    <w:rsid w:val="004D4C8B"/>
    <w:rsid w:val="004D621A"/>
    <w:rsid w:val="004D678F"/>
    <w:rsid w:val="004D6F35"/>
    <w:rsid w:val="004E1776"/>
    <w:rsid w:val="004E4405"/>
    <w:rsid w:val="004E44B3"/>
    <w:rsid w:val="004E5E00"/>
    <w:rsid w:val="004E6242"/>
    <w:rsid w:val="004E6B82"/>
    <w:rsid w:val="004F05E7"/>
    <w:rsid w:val="004F2482"/>
    <w:rsid w:val="004F41CC"/>
    <w:rsid w:val="004F422A"/>
    <w:rsid w:val="004F78C3"/>
    <w:rsid w:val="00501450"/>
    <w:rsid w:val="005019D6"/>
    <w:rsid w:val="005030C3"/>
    <w:rsid w:val="00506780"/>
    <w:rsid w:val="00512C90"/>
    <w:rsid w:val="00512D35"/>
    <w:rsid w:val="00514516"/>
    <w:rsid w:val="00514621"/>
    <w:rsid w:val="00515AB8"/>
    <w:rsid w:val="00516A14"/>
    <w:rsid w:val="00516DED"/>
    <w:rsid w:val="00520FC9"/>
    <w:rsid w:val="00521608"/>
    <w:rsid w:val="00521CF5"/>
    <w:rsid w:val="0052225A"/>
    <w:rsid w:val="0052444A"/>
    <w:rsid w:val="00525F22"/>
    <w:rsid w:val="00526585"/>
    <w:rsid w:val="005266C3"/>
    <w:rsid w:val="005277E7"/>
    <w:rsid w:val="0053091B"/>
    <w:rsid w:val="00530933"/>
    <w:rsid w:val="0053380F"/>
    <w:rsid w:val="005344FE"/>
    <w:rsid w:val="00535086"/>
    <w:rsid w:val="005378F6"/>
    <w:rsid w:val="00540DE2"/>
    <w:rsid w:val="00542A4D"/>
    <w:rsid w:val="00542FA0"/>
    <w:rsid w:val="00543637"/>
    <w:rsid w:val="00543A37"/>
    <w:rsid w:val="00544C15"/>
    <w:rsid w:val="00547333"/>
    <w:rsid w:val="00547B8D"/>
    <w:rsid w:val="005505DD"/>
    <w:rsid w:val="00551350"/>
    <w:rsid w:val="00551415"/>
    <w:rsid w:val="00551B3E"/>
    <w:rsid w:val="00553529"/>
    <w:rsid w:val="00553B49"/>
    <w:rsid w:val="00554329"/>
    <w:rsid w:val="0055450C"/>
    <w:rsid w:val="00555770"/>
    <w:rsid w:val="00557067"/>
    <w:rsid w:val="00557955"/>
    <w:rsid w:val="005616F1"/>
    <w:rsid w:val="00561C41"/>
    <w:rsid w:val="005623B2"/>
    <w:rsid w:val="005625EC"/>
    <w:rsid w:val="005651C8"/>
    <w:rsid w:val="0056682B"/>
    <w:rsid w:val="00566BC3"/>
    <w:rsid w:val="00567CE6"/>
    <w:rsid w:val="00570980"/>
    <w:rsid w:val="00571034"/>
    <w:rsid w:val="00571363"/>
    <w:rsid w:val="0057398E"/>
    <w:rsid w:val="00575A34"/>
    <w:rsid w:val="00576E88"/>
    <w:rsid w:val="00577A40"/>
    <w:rsid w:val="005802B4"/>
    <w:rsid w:val="005807D9"/>
    <w:rsid w:val="0058447F"/>
    <w:rsid w:val="005871DD"/>
    <w:rsid w:val="00587EDB"/>
    <w:rsid w:val="00595024"/>
    <w:rsid w:val="00595A5F"/>
    <w:rsid w:val="00596157"/>
    <w:rsid w:val="00596D76"/>
    <w:rsid w:val="00597DB3"/>
    <w:rsid w:val="005A26A5"/>
    <w:rsid w:val="005A2D29"/>
    <w:rsid w:val="005A403F"/>
    <w:rsid w:val="005A4383"/>
    <w:rsid w:val="005A4E0F"/>
    <w:rsid w:val="005A552B"/>
    <w:rsid w:val="005A607C"/>
    <w:rsid w:val="005A6C8F"/>
    <w:rsid w:val="005A7E8C"/>
    <w:rsid w:val="005B310C"/>
    <w:rsid w:val="005B3DEE"/>
    <w:rsid w:val="005B3F04"/>
    <w:rsid w:val="005B525A"/>
    <w:rsid w:val="005B56A0"/>
    <w:rsid w:val="005B63DD"/>
    <w:rsid w:val="005B71EE"/>
    <w:rsid w:val="005C05DC"/>
    <w:rsid w:val="005C08B9"/>
    <w:rsid w:val="005C0907"/>
    <w:rsid w:val="005C2273"/>
    <w:rsid w:val="005C2770"/>
    <w:rsid w:val="005C551B"/>
    <w:rsid w:val="005C5560"/>
    <w:rsid w:val="005C6438"/>
    <w:rsid w:val="005C6C5F"/>
    <w:rsid w:val="005D0135"/>
    <w:rsid w:val="005D0CFE"/>
    <w:rsid w:val="005D2678"/>
    <w:rsid w:val="005D2E44"/>
    <w:rsid w:val="005D3299"/>
    <w:rsid w:val="005D3E99"/>
    <w:rsid w:val="005D688F"/>
    <w:rsid w:val="005D70C5"/>
    <w:rsid w:val="005D768C"/>
    <w:rsid w:val="005D76CD"/>
    <w:rsid w:val="005D7E5E"/>
    <w:rsid w:val="005E2773"/>
    <w:rsid w:val="005E3925"/>
    <w:rsid w:val="005E6D26"/>
    <w:rsid w:val="005E7483"/>
    <w:rsid w:val="005F1125"/>
    <w:rsid w:val="005F3357"/>
    <w:rsid w:val="005F3D07"/>
    <w:rsid w:val="005F748A"/>
    <w:rsid w:val="005F79F3"/>
    <w:rsid w:val="005F7CA6"/>
    <w:rsid w:val="006005B8"/>
    <w:rsid w:val="00602DC9"/>
    <w:rsid w:val="006032C3"/>
    <w:rsid w:val="00604D6A"/>
    <w:rsid w:val="00604D90"/>
    <w:rsid w:val="00606B2E"/>
    <w:rsid w:val="006071CC"/>
    <w:rsid w:val="00607249"/>
    <w:rsid w:val="00610EEC"/>
    <w:rsid w:val="00613B0E"/>
    <w:rsid w:val="00613CA3"/>
    <w:rsid w:val="0061401C"/>
    <w:rsid w:val="0061579D"/>
    <w:rsid w:val="00616345"/>
    <w:rsid w:val="006206C6"/>
    <w:rsid w:val="00621C28"/>
    <w:rsid w:val="0062342E"/>
    <w:rsid w:val="006247C8"/>
    <w:rsid w:val="006255E6"/>
    <w:rsid w:val="00630336"/>
    <w:rsid w:val="00630727"/>
    <w:rsid w:val="006313E0"/>
    <w:rsid w:val="00632699"/>
    <w:rsid w:val="006331FD"/>
    <w:rsid w:val="00633DAD"/>
    <w:rsid w:val="00634F41"/>
    <w:rsid w:val="00635337"/>
    <w:rsid w:val="00637FAE"/>
    <w:rsid w:val="00640402"/>
    <w:rsid w:val="00640967"/>
    <w:rsid w:val="00642FDD"/>
    <w:rsid w:val="00643969"/>
    <w:rsid w:val="006439B9"/>
    <w:rsid w:val="00646746"/>
    <w:rsid w:val="0065076A"/>
    <w:rsid w:val="0065084C"/>
    <w:rsid w:val="006509D4"/>
    <w:rsid w:val="00651B39"/>
    <w:rsid w:val="006547D9"/>
    <w:rsid w:val="006551FD"/>
    <w:rsid w:val="00656B37"/>
    <w:rsid w:val="00660000"/>
    <w:rsid w:val="00660945"/>
    <w:rsid w:val="00661FFA"/>
    <w:rsid w:val="006629E4"/>
    <w:rsid w:val="00662E33"/>
    <w:rsid w:val="00663EE6"/>
    <w:rsid w:val="006663C5"/>
    <w:rsid w:val="00667EE6"/>
    <w:rsid w:val="00670711"/>
    <w:rsid w:val="006718AF"/>
    <w:rsid w:val="00671EFD"/>
    <w:rsid w:val="00671FBB"/>
    <w:rsid w:val="00675AD4"/>
    <w:rsid w:val="00676E36"/>
    <w:rsid w:val="00680BEA"/>
    <w:rsid w:val="006833CE"/>
    <w:rsid w:val="00683892"/>
    <w:rsid w:val="00683B2A"/>
    <w:rsid w:val="00684F7A"/>
    <w:rsid w:val="006853BA"/>
    <w:rsid w:val="00686C3A"/>
    <w:rsid w:val="0069093D"/>
    <w:rsid w:val="00693A69"/>
    <w:rsid w:val="0069482E"/>
    <w:rsid w:val="0069546E"/>
    <w:rsid w:val="00695721"/>
    <w:rsid w:val="00695EEB"/>
    <w:rsid w:val="006968BA"/>
    <w:rsid w:val="00697C7C"/>
    <w:rsid w:val="006A0D5E"/>
    <w:rsid w:val="006A1673"/>
    <w:rsid w:val="006A25EA"/>
    <w:rsid w:val="006A3BC8"/>
    <w:rsid w:val="006A4304"/>
    <w:rsid w:val="006A6B5F"/>
    <w:rsid w:val="006A7633"/>
    <w:rsid w:val="006A7C4E"/>
    <w:rsid w:val="006B114C"/>
    <w:rsid w:val="006B1F48"/>
    <w:rsid w:val="006B2BB2"/>
    <w:rsid w:val="006B3520"/>
    <w:rsid w:val="006B3E40"/>
    <w:rsid w:val="006B4446"/>
    <w:rsid w:val="006B50DF"/>
    <w:rsid w:val="006B587B"/>
    <w:rsid w:val="006B6398"/>
    <w:rsid w:val="006C0318"/>
    <w:rsid w:val="006C1D9F"/>
    <w:rsid w:val="006C3250"/>
    <w:rsid w:val="006C4A12"/>
    <w:rsid w:val="006C4E6B"/>
    <w:rsid w:val="006C6589"/>
    <w:rsid w:val="006D0D9F"/>
    <w:rsid w:val="006D0FA9"/>
    <w:rsid w:val="006D4BF8"/>
    <w:rsid w:val="006D4FDB"/>
    <w:rsid w:val="006D5AE2"/>
    <w:rsid w:val="006D733A"/>
    <w:rsid w:val="006D74E3"/>
    <w:rsid w:val="006E2676"/>
    <w:rsid w:val="006E36C6"/>
    <w:rsid w:val="006E7338"/>
    <w:rsid w:val="006F0A7E"/>
    <w:rsid w:val="006F26A6"/>
    <w:rsid w:val="006F28B7"/>
    <w:rsid w:val="006F42A1"/>
    <w:rsid w:val="006F5095"/>
    <w:rsid w:val="006F6CD7"/>
    <w:rsid w:val="00703347"/>
    <w:rsid w:val="00705DC0"/>
    <w:rsid w:val="007073B6"/>
    <w:rsid w:val="00707887"/>
    <w:rsid w:val="00710141"/>
    <w:rsid w:val="0071359B"/>
    <w:rsid w:val="00713FBF"/>
    <w:rsid w:val="007209B9"/>
    <w:rsid w:val="00720CE9"/>
    <w:rsid w:val="00721713"/>
    <w:rsid w:val="00722B64"/>
    <w:rsid w:val="0072316D"/>
    <w:rsid w:val="00723485"/>
    <w:rsid w:val="007250DA"/>
    <w:rsid w:val="00725DFE"/>
    <w:rsid w:val="0072713C"/>
    <w:rsid w:val="00730262"/>
    <w:rsid w:val="007309F4"/>
    <w:rsid w:val="007319A3"/>
    <w:rsid w:val="007321D3"/>
    <w:rsid w:val="007331F3"/>
    <w:rsid w:val="007350B4"/>
    <w:rsid w:val="0073568E"/>
    <w:rsid w:val="00735837"/>
    <w:rsid w:val="00735A62"/>
    <w:rsid w:val="00735EB9"/>
    <w:rsid w:val="00737ADB"/>
    <w:rsid w:val="007414C3"/>
    <w:rsid w:val="007424CD"/>
    <w:rsid w:val="00742F84"/>
    <w:rsid w:val="00742FD8"/>
    <w:rsid w:val="00743001"/>
    <w:rsid w:val="007432A5"/>
    <w:rsid w:val="007444BF"/>
    <w:rsid w:val="00747BFB"/>
    <w:rsid w:val="00747F72"/>
    <w:rsid w:val="007517F7"/>
    <w:rsid w:val="0075483F"/>
    <w:rsid w:val="00754DDA"/>
    <w:rsid w:val="00755962"/>
    <w:rsid w:val="007565EB"/>
    <w:rsid w:val="00757921"/>
    <w:rsid w:val="007620AC"/>
    <w:rsid w:val="00764657"/>
    <w:rsid w:val="00764FE6"/>
    <w:rsid w:val="00766A42"/>
    <w:rsid w:val="00770CC8"/>
    <w:rsid w:val="00771309"/>
    <w:rsid w:val="0077229C"/>
    <w:rsid w:val="00772D6A"/>
    <w:rsid w:val="00775AFB"/>
    <w:rsid w:val="00780153"/>
    <w:rsid w:val="00780B6E"/>
    <w:rsid w:val="00781EE2"/>
    <w:rsid w:val="0078319E"/>
    <w:rsid w:val="007846A5"/>
    <w:rsid w:val="00784A8D"/>
    <w:rsid w:val="00785D6B"/>
    <w:rsid w:val="00786EE5"/>
    <w:rsid w:val="00787645"/>
    <w:rsid w:val="00787CC4"/>
    <w:rsid w:val="00787D5F"/>
    <w:rsid w:val="00791100"/>
    <w:rsid w:val="00791166"/>
    <w:rsid w:val="0079145A"/>
    <w:rsid w:val="00793B0F"/>
    <w:rsid w:val="00793C03"/>
    <w:rsid w:val="00794398"/>
    <w:rsid w:val="00794460"/>
    <w:rsid w:val="00794D85"/>
    <w:rsid w:val="00794FA5"/>
    <w:rsid w:val="0079590F"/>
    <w:rsid w:val="00796D61"/>
    <w:rsid w:val="00796DBE"/>
    <w:rsid w:val="0079764F"/>
    <w:rsid w:val="00797C24"/>
    <w:rsid w:val="00797DDF"/>
    <w:rsid w:val="007A0CE3"/>
    <w:rsid w:val="007A18B1"/>
    <w:rsid w:val="007A1D29"/>
    <w:rsid w:val="007A2CD7"/>
    <w:rsid w:val="007A2DAF"/>
    <w:rsid w:val="007A2FD0"/>
    <w:rsid w:val="007A50E1"/>
    <w:rsid w:val="007A5F9C"/>
    <w:rsid w:val="007A6361"/>
    <w:rsid w:val="007A6F32"/>
    <w:rsid w:val="007A6FDD"/>
    <w:rsid w:val="007A6FEA"/>
    <w:rsid w:val="007B140D"/>
    <w:rsid w:val="007B3996"/>
    <w:rsid w:val="007B3E30"/>
    <w:rsid w:val="007B58BE"/>
    <w:rsid w:val="007B6C65"/>
    <w:rsid w:val="007B7A69"/>
    <w:rsid w:val="007C1C55"/>
    <w:rsid w:val="007C23D7"/>
    <w:rsid w:val="007C3AF6"/>
    <w:rsid w:val="007C42B1"/>
    <w:rsid w:val="007C4677"/>
    <w:rsid w:val="007C579F"/>
    <w:rsid w:val="007C69D6"/>
    <w:rsid w:val="007C73B4"/>
    <w:rsid w:val="007D203C"/>
    <w:rsid w:val="007D4056"/>
    <w:rsid w:val="007D41F4"/>
    <w:rsid w:val="007D541A"/>
    <w:rsid w:val="007D7058"/>
    <w:rsid w:val="007E1EDE"/>
    <w:rsid w:val="007E2779"/>
    <w:rsid w:val="007E5330"/>
    <w:rsid w:val="007E55E8"/>
    <w:rsid w:val="007E58F6"/>
    <w:rsid w:val="007E5AAC"/>
    <w:rsid w:val="007E5CE1"/>
    <w:rsid w:val="007E70F0"/>
    <w:rsid w:val="007E7AD4"/>
    <w:rsid w:val="007E7C05"/>
    <w:rsid w:val="007F028F"/>
    <w:rsid w:val="007F1828"/>
    <w:rsid w:val="007F1882"/>
    <w:rsid w:val="007F2F10"/>
    <w:rsid w:val="007F73D4"/>
    <w:rsid w:val="007F78D6"/>
    <w:rsid w:val="008015C1"/>
    <w:rsid w:val="00802C8C"/>
    <w:rsid w:val="008044B6"/>
    <w:rsid w:val="0080620D"/>
    <w:rsid w:val="00806C9F"/>
    <w:rsid w:val="00810F70"/>
    <w:rsid w:val="00813DC5"/>
    <w:rsid w:val="008152C9"/>
    <w:rsid w:val="0081565D"/>
    <w:rsid w:val="008168C7"/>
    <w:rsid w:val="0081693F"/>
    <w:rsid w:val="00817686"/>
    <w:rsid w:val="00821621"/>
    <w:rsid w:val="008221CB"/>
    <w:rsid w:val="008222C1"/>
    <w:rsid w:val="0082423E"/>
    <w:rsid w:val="0082464E"/>
    <w:rsid w:val="00826171"/>
    <w:rsid w:val="00830AD6"/>
    <w:rsid w:val="00831431"/>
    <w:rsid w:val="00831BF7"/>
    <w:rsid w:val="00833FC7"/>
    <w:rsid w:val="00837E34"/>
    <w:rsid w:val="00840BFA"/>
    <w:rsid w:val="00840CB7"/>
    <w:rsid w:val="00840E28"/>
    <w:rsid w:val="00842270"/>
    <w:rsid w:val="0084250F"/>
    <w:rsid w:val="00842BF3"/>
    <w:rsid w:val="008433B3"/>
    <w:rsid w:val="00844800"/>
    <w:rsid w:val="00845483"/>
    <w:rsid w:val="00845D25"/>
    <w:rsid w:val="00847BF6"/>
    <w:rsid w:val="008502E7"/>
    <w:rsid w:val="00851C51"/>
    <w:rsid w:val="00852965"/>
    <w:rsid w:val="00853A3F"/>
    <w:rsid w:val="008542C0"/>
    <w:rsid w:val="00854BA9"/>
    <w:rsid w:val="00854EC4"/>
    <w:rsid w:val="00856C98"/>
    <w:rsid w:val="00857DE3"/>
    <w:rsid w:val="00860DE6"/>
    <w:rsid w:val="00861881"/>
    <w:rsid w:val="00861AEE"/>
    <w:rsid w:val="0086212C"/>
    <w:rsid w:val="0086216F"/>
    <w:rsid w:val="00862659"/>
    <w:rsid w:val="00863664"/>
    <w:rsid w:val="0086579E"/>
    <w:rsid w:val="008658FC"/>
    <w:rsid w:val="008659E4"/>
    <w:rsid w:val="008724FE"/>
    <w:rsid w:val="008737C9"/>
    <w:rsid w:val="00873818"/>
    <w:rsid w:val="0087407E"/>
    <w:rsid w:val="00874485"/>
    <w:rsid w:val="008768D1"/>
    <w:rsid w:val="00876ECF"/>
    <w:rsid w:val="0088196E"/>
    <w:rsid w:val="00881E85"/>
    <w:rsid w:val="00883301"/>
    <w:rsid w:val="00883D25"/>
    <w:rsid w:val="00884991"/>
    <w:rsid w:val="00884CED"/>
    <w:rsid w:val="00884E39"/>
    <w:rsid w:val="00885819"/>
    <w:rsid w:val="00885E66"/>
    <w:rsid w:val="00886BAE"/>
    <w:rsid w:val="00886CEF"/>
    <w:rsid w:val="00887D4B"/>
    <w:rsid w:val="00887E0B"/>
    <w:rsid w:val="00890DA2"/>
    <w:rsid w:val="008914F1"/>
    <w:rsid w:val="00892DCF"/>
    <w:rsid w:val="00893BE4"/>
    <w:rsid w:val="00893FA6"/>
    <w:rsid w:val="00895201"/>
    <w:rsid w:val="00895880"/>
    <w:rsid w:val="008A0499"/>
    <w:rsid w:val="008A0A1C"/>
    <w:rsid w:val="008A1151"/>
    <w:rsid w:val="008A1406"/>
    <w:rsid w:val="008A27B7"/>
    <w:rsid w:val="008A37D1"/>
    <w:rsid w:val="008A49DE"/>
    <w:rsid w:val="008A4CBA"/>
    <w:rsid w:val="008A7F50"/>
    <w:rsid w:val="008B2391"/>
    <w:rsid w:val="008B4A3E"/>
    <w:rsid w:val="008B7670"/>
    <w:rsid w:val="008B79A6"/>
    <w:rsid w:val="008C137C"/>
    <w:rsid w:val="008C22FC"/>
    <w:rsid w:val="008C4548"/>
    <w:rsid w:val="008C48E7"/>
    <w:rsid w:val="008C558D"/>
    <w:rsid w:val="008C6489"/>
    <w:rsid w:val="008C6B75"/>
    <w:rsid w:val="008C6CD7"/>
    <w:rsid w:val="008C75F8"/>
    <w:rsid w:val="008C7D76"/>
    <w:rsid w:val="008C7D9C"/>
    <w:rsid w:val="008D2794"/>
    <w:rsid w:val="008D3E2F"/>
    <w:rsid w:val="008D5932"/>
    <w:rsid w:val="008D5DBF"/>
    <w:rsid w:val="008D7CE2"/>
    <w:rsid w:val="008E1E4D"/>
    <w:rsid w:val="008E3E98"/>
    <w:rsid w:val="008E6696"/>
    <w:rsid w:val="008E6BF7"/>
    <w:rsid w:val="008E77C4"/>
    <w:rsid w:val="008F0350"/>
    <w:rsid w:val="008F098D"/>
    <w:rsid w:val="008F2579"/>
    <w:rsid w:val="008F73B4"/>
    <w:rsid w:val="009006EA"/>
    <w:rsid w:val="009010D9"/>
    <w:rsid w:val="009013E7"/>
    <w:rsid w:val="00901F34"/>
    <w:rsid w:val="00902655"/>
    <w:rsid w:val="00902ABE"/>
    <w:rsid w:val="00904B66"/>
    <w:rsid w:val="00905DF0"/>
    <w:rsid w:val="0090667A"/>
    <w:rsid w:val="00906D3D"/>
    <w:rsid w:val="00910AE0"/>
    <w:rsid w:val="00912DBD"/>
    <w:rsid w:val="00912F64"/>
    <w:rsid w:val="00912F9B"/>
    <w:rsid w:val="009153AE"/>
    <w:rsid w:val="00915E18"/>
    <w:rsid w:val="0091690A"/>
    <w:rsid w:val="00916D93"/>
    <w:rsid w:val="00916FEB"/>
    <w:rsid w:val="0091708E"/>
    <w:rsid w:val="00921190"/>
    <w:rsid w:val="00921777"/>
    <w:rsid w:val="00925458"/>
    <w:rsid w:val="0093002A"/>
    <w:rsid w:val="009330B0"/>
    <w:rsid w:val="00933391"/>
    <w:rsid w:val="009341B9"/>
    <w:rsid w:val="009344B6"/>
    <w:rsid w:val="00934AA6"/>
    <w:rsid w:val="00935D4A"/>
    <w:rsid w:val="00940492"/>
    <w:rsid w:val="00940697"/>
    <w:rsid w:val="009407C6"/>
    <w:rsid w:val="00940ED0"/>
    <w:rsid w:val="00942796"/>
    <w:rsid w:val="00944644"/>
    <w:rsid w:val="00944E21"/>
    <w:rsid w:val="009452F5"/>
    <w:rsid w:val="00945BB1"/>
    <w:rsid w:val="0094649A"/>
    <w:rsid w:val="009508DD"/>
    <w:rsid w:val="0095111E"/>
    <w:rsid w:val="00951625"/>
    <w:rsid w:val="0095489E"/>
    <w:rsid w:val="00957408"/>
    <w:rsid w:val="00960505"/>
    <w:rsid w:val="00961A69"/>
    <w:rsid w:val="00962997"/>
    <w:rsid w:val="00966556"/>
    <w:rsid w:val="0096683A"/>
    <w:rsid w:val="00970F6A"/>
    <w:rsid w:val="009715B0"/>
    <w:rsid w:val="009728BE"/>
    <w:rsid w:val="009747CA"/>
    <w:rsid w:val="0097569E"/>
    <w:rsid w:val="00977A69"/>
    <w:rsid w:val="00980452"/>
    <w:rsid w:val="00980F4E"/>
    <w:rsid w:val="00981077"/>
    <w:rsid w:val="0098244C"/>
    <w:rsid w:val="00982635"/>
    <w:rsid w:val="00982D5D"/>
    <w:rsid w:val="00983014"/>
    <w:rsid w:val="0098317D"/>
    <w:rsid w:val="009832E7"/>
    <w:rsid w:val="00985451"/>
    <w:rsid w:val="009863E6"/>
    <w:rsid w:val="00986D09"/>
    <w:rsid w:val="00990061"/>
    <w:rsid w:val="00993643"/>
    <w:rsid w:val="009937E8"/>
    <w:rsid w:val="009944D7"/>
    <w:rsid w:val="00995E2C"/>
    <w:rsid w:val="00996573"/>
    <w:rsid w:val="00996AC2"/>
    <w:rsid w:val="00997533"/>
    <w:rsid w:val="00997FC5"/>
    <w:rsid w:val="009A1CD5"/>
    <w:rsid w:val="009A2202"/>
    <w:rsid w:val="009A42CE"/>
    <w:rsid w:val="009A49D1"/>
    <w:rsid w:val="009A573F"/>
    <w:rsid w:val="009A68CE"/>
    <w:rsid w:val="009A78D4"/>
    <w:rsid w:val="009B0BFD"/>
    <w:rsid w:val="009B1204"/>
    <w:rsid w:val="009B1DEA"/>
    <w:rsid w:val="009B33B7"/>
    <w:rsid w:val="009B383B"/>
    <w:rsid w:val="009B5DE3"/>
    <w:rsid w:val="009B7937"/>
    <w:rsid w:val="009C041B"/>
    <w:rsid w:val="009C0746"/>
    <w:rsid w:val="009C14DF"/>
    <w:rsid w:val="009C1641"/>
    <w:rsid w:val="009C2776"/>
    <w:rsid w:val="009C2A7A"/>
    <w:rsid w:val="009C4B7B"/>
    <w:rsid w:val="009C6E3F"/>
    <w:rsid w:val="009D061D"/>
    <w:rsid w:val="009D06B9"/>
    <w:rsid w:val="009D0921"/>
    <w:rsid w:val="009D1250"/>
    <w:rsid w:val="009D5F11"/>
    <w:rsid w:val="009D6D69"/>
    <w:rsid w:val="009E12C0"/>
    <w:rsid w:val="009E27A1"/>
    <w:rsid w:val="009E3B57"/>
    <w:rsid w:val="009E416A"/>
    <w:rsid w:val="009E4271"/>
    <w:rsid w:val="009E4981"/>
    <w:rsid w:val="009E67FC"/>
    <w:rsid w:val="009E6E0B"/>
    <w:rsid w:val="009F1702"/>
    <w:rsid w:val="009F2407"/>
    <w:rsid w:val="009F2B2A"/>
    <w:rsid w:val="009F43F0"/>
    <w:rsid w:val="009F47FF"/>
    <w:rsid w:val="009F5114"/>
    <w:rsid w:val="009F6FC0"/>
    <w:rsid w:val="009F78DE"/>
    <w:rsid w:val="00A00642"/>
    <w:rsid w:val="00A01CE8"/>
    <w:rsid w:val="00A02FAD"/>
    <w:rsid w:val="00A04B1C"/>
    <w:rsid w:val="00A05299"/>
    <w:rsid w:val="00A05BED"/>
    <w:rsid w:val="00A06556"/>
    <w:rsid w:val="00A06D26"/>
    <w:rsid w:val="00A07083"/>
    <w:rsid w:val="00A07957"/>
    <w:rsid w:val="00A07EBB"/>
    <w:rsid w:val="00A10998"/>
    <w:rsid w:val="00A11F0F"/>
    <w:rsid w:val="00A12437"/>
    <w:rsid w:val="00A13A21"/>
    <w:rsid w:val="00A142A3"/>
    <w:rsid w:val="00A1595F"/>
    <w:rsid w:val="00A15BC8"/>
    <w:rsid w:val="00A17E38"/>
    <w:rsid w:val="00A21EE8"/>
    <w:rsid w:val="00A2275A"/>
    <w:rsid w:val="00A23A51"/>
    <w:rsid w:val="00A23E00"/>
    <w:rsid w:val="00A246B7"/>
    <w:rsid w:val="00A246C3"/>
    <w:rsid w:val="00A275A6"/>
    <w:rsid w:val="00A3069E"/>
    <w:rsid w:val="00A312D1"/>
    <w:rsid w:val="00A34125"/>
    <w:rsid w:val="00A357C2"/>
    <w:rsid w:val="00A36F68"/>
    <w:rsid w:val="00A410E5"/>
    <w:rsid w:val="00A420E7"/>
    <w:rsid w:val="00A42162"/>
    <w:rsid w:val="00A42D1A"/>
    <w:rsid w:val="00A43215"/>
    <w:rsid w:val="00A4450A"/>
    <w:rsid w:val="00A445D1"/>
    <w:rsid w:val="00A44F5F"/>
    <w:rsid w:val="00A50CEF"/>
    <w:rsid w:val="00A50F49"/>
    <w:rsid w:val="00A52B3F"/>
    <w:rsid w:val="00A52EFB"/>
    <w:rsid w:val="00A5360B"/>
    <w:rsid w:val="00A537D0"/>
    <w:rsid w:val="00A56F24"/>
    <w:rsid w:val="00A60C1C"/>
    <w:rsid w:val="00A61A47"/>
    <w:rsid w:val="00A62A58"/>
    <w:rsid w:val="00A65DCA"/>
    <w:rsid w:val="00A67289"/>
    <w:rsid w:val="00A71C1F"/>
    <w:rsid w:val="00A7370E"/>
    <w:rsid w:val="00A73DAE"/>
    <w:rsid w:val="00A76B98"/>
    <w:rsid w:val="00A775B1"/>
    <w:rsid w:val="00A80AAA"/>
    <w:rsid w:val="00A82442"/>
    <w:rsid w:val="00A827EB"/>
    <w:rsid w:val="00A83871"/>
    <w:rsid w:val="00A841D6"/>
    <w:rsid w:val="00A84319"/>
    <w:rsid w:val="00A866F8"/>
    <w:rsid w:val="00A90B88"/>
    <w:rsid w:val="00A91F32"/>
    <w:rsid w:val="00A920F4"/>
    <w:rsid w:val="00A9288A"/>
    <w:rsid w:val="00A93368"/>
    <w:rsid w:val="00A93C60"/>
    <w:rsid w:val="00A964F6"/>
    <w:rsid w:val="00A968B4"/>
    <w:rsid w:val="00A977C1"/>
    <w:rsid w:val="00AA2A52"/>
    <w:rsid w:val="00AA2DEA"/>
    <w:rsid w:val="00AA36E1"/>
    <w:rsid w:val="00AA3711"/>
    <w:rsid w:val="00AA3781"/>
    <w:rsid w:val="00AA3D07"/>
    <w:rsid w:val="00AA52B2"/>
    <w:rsid w:val="00AA584B"/>
    <w:rsid w:val="00AA6108"/>
    <w:rsid w:val="00AA6213"/>
    <w:rsid w:val="00AA735C"/>
    <w:rsid w:val="00AA7CAA"/>
    <w:rsid w:val="00AB075F"/>
    <w:rsid w:val="00AB1C41"/>
    <w:rsid w:val="00AB4CED"/>
    <w:rsid w:val="00AB4E2B"/>
    <w:rsid w:val="00AB5458"/>
    <w:rsid w:val="00AB577B"/>
    <w:rsid w:val="00AB59D0"/>
    <w:rsid w:val="00AB5C26"/>
    <w:rsid w:val="00AB6ECD"/>
    <w:rsid w:val="00AC235D"/>
    <w:rsid w:val="00AC4D41"/>
    <w:rsid w:val="00AC5028"/>
    <w:rsid w:val="00AC51C4"/>
    <w:rsid w:val="00AC63F8"/>
    <w:rsid w:val="00AC6A66"/>
    <w:rsid w:val="00AD0B7D"/>
    <w:rsid w:val="00AD32CB"/>
    <w:rsid w:val="00AD3A23"/>
    <w:rsid w:val="00AD4511"/>
    <w:rsid w:val="00AD4B88"/>
    <w:rsid w:val="00AD66CA"/>
    <w:rsid w:val="00AD6DC6"/>
    <w:rsid w:val="00AE1FD6"/>
    <w:rsid w:val="00AE2042"/>
    <w:rsid w:val="00AE4A37"/>
    <w:rsid w:val="00AE6E98"/>
    <w:rsid w:val="00AE75A9"/>
    <w:rsid w:val="00AF0538"/>
    <w:rsid w:val="00AF138E"/>
    <w:rsid w:val="00AF14D1"/>
    <w:rsid w:val="00AF1765"/>
    <w:rsid w:val="00AF258C"/>
    <w:rsid w:val="00AF2B9F"/>
    <w:rsid w:val="00AF37AB"/>
    <w:rsid w:val="00AF3AA3"/>
    <w:rsid w:val="00AF5D10"/>
    <w:rsid w:val="00AF704E"/>
    <w:rsid w:val="00B0013D"/>
    <w:rsid w:val="00B009CA"/>
    <w:rsid w:val="00B02AC5"/>
    <w:rsid w:val="00B03744"/>
    <w:rsid w:val="00B03EB6"/>
    <w:rsid w:val="00B04554"/>
    <w:rsid w:val="00B059A0"/>
    <w:rsid w:val="00B0689C"/>
    <w:rsid w:val="00B068CB"/>
    <w:rsid w:val="00B06CF8"/>
    <w:rsid w:val="00B0748F"/>
    <w:rsid w:val="00B10316"/>
    <w:rsid w:val="00B11ADD"/>
    <w:rsid w:val="00B12AE4"/>
    <w:rsid w:val="00B1581E"/>
    <w:rsid w:val="00B16C37"/>
    <w:rsid w:val="00B204D4"/>
    <w:rsid w:val="00B205C8"/>
    <w:rsid w:val="00B21475"/>
    <w:rsid w:val="00B22070"/>
    <w:rsid w:val="00B224B8"/>
    <w:rsid w:val="00B22E26"/>
    <w:rsid w:val="00B23306"/>
    <w:rsid w:val="00B23495"/>
    <w:rsid w:val="00B24A99"/>
    <w:rsid w:val="00B26208"/>
    <w:rsid w:val="00B26B5C"/>
    <w:rsid w:val="00B277A3"/>
    <w:rsid w:val="00B30D04"/>
    <w:rsid w:val="00B32667"/>
    <w:rsid w:val="00B34559"/>
    <w:rsid w:val="00B37B26"/>
    <w:rsid w:val="00B37E58"/>
    <w:rsid w:val="00B40E7E"/>
    <w:rsid w:val="00B40F31"/>
    <w:rsid w:val="00B429A2"/>
    <w:rsid w:val="00B43079"/>
    <w:rsid w:val="00B4330E"/>
    <w:rsid w:val="00B4575A"/>
    <w:rsid w:val="00B462C6"/>
    <w:rsid w:val="00B47D38"/>
    <w:rsid w:val="00B53DDB"/>
    <w:rsid w:val="00B54A2A"/>
    <w:rsid w:val="00B5501A"/>
    <w:rsid w:val="00B557EE"/>
    <w:rsid w:val="00B56441"/>
    <w:rsid w:val="00B600E8"/>
    <w:rsid w:val="00B61306"/>
    <w:rsid w:val="00B61818"/>
    <w:rsid w:val="00B62BA0"/>
    <w:rsid w:val="00B643FB"/>
    <w:rsid w:val="00B650D6"/>
    <w:rsid w:val="00B6549A"/>
    <w:rsid w:val="00B655B7"/>
    <w:rsid w:val="00B65DD1"/>
    <w:rsid w:val="00B66A22"/>
    <w:rsid w:val="00B67625"/>
    <w:rsid w:val="00B67C33"/>
    <w:rsid w:val="00B71290"/>
    <w:rsid w:val="00B7322F"/>
    <w:rsid w:val="00B74C62"/>
    <w:rsid w:val="00B74CA0"/>
    <w:rsid w:val="00B7559C"/>
    <w:rsid w:val="00B75C3A"/>
    <w:rsid w:val="00B7642C"/>
    <w:rsid w:val="00B766FD"/>
    <w:rsid w:val="00B76D01"/>
    <w:rsid w:val="00B773DE"/>
    <w:rsid w:val="00B80783"/>
    <w:rsid w:val="00B823AC"/>
    <w:rsid w:val="00B82727"/>
    <w:rsid w:val="00B829BA"/>
    <w:rsid w:val="00B82DC3"/>
    <w:rsid w:val="00B8487C"/>
    <w:rsid w:val="00B859BE"/>
    <w:rsid w:val="00B900E6"/>
    <w:rsid w:val="00B9026E"/>
    <w:rsid w:val="00B90A5A"/>
    <w:rsid w:val="00B92EF2"/>
    <w:rsid w:val="00B93A8C"/>
    <w:rsid w:val="00B955E9"/>
    <w:rsid w:val="00B956BD"/>
    <w:rsid w:val="00B95963"/>
    <w:rsid w:val="00B96FF4"/>
    <w:rsid w:val="00BA0B04"/>
    <w:rsid w:val="00BA113F"/>
    <w:rsid w:val="00BA20E7"/>
    <w:rsid w:val="00BA34F0"/>
    <w:rsid w:val="00BA3C91"/>
    <w:rsid w:val="00BA4032"/>
    <w:rsid w:val="00BA49B6"/>
    <w:rsid w:val="00BA526A"/>
    <w:rsid w:val="00BA57F9"/>
    <w:rsid w:val="00BB20FF"/>
    <w:rsid w:val="00BB573D"/>
    <w:rsid w:val="00BB59AE"/>
    <w:rsid w:val="00BB6DF9"/>
    <w:rsid w:val="00BC12EF"/>
    <w:rsid w:val="00BC236F"/>
    <w:rsid w:val="00BC2394"/>
    <w:rsid w:val="00BC3F5D"/>
    <w:rsid w:val="00BC488B"/>
    <w:rsid w:val="00BC4932"/>
    <w:rsid w:val="00BC6276"/>
    <w:rsid w:val="00BD2440"/>
    <w:rsid w:val="00BD34F0"/>
    <w:rsid w:val="00BD69EF"/>
    <w:rsid w:val="00BD6E60"/>
    <w:rsid w:val="00BD7794"/>
    <w:rsid w:val="00BD77A2"/>
    <w:rsid w:val="00BD7897"/>
    <w:rsid w:val="00BD7CAC"/>
    <w:rsid w:val="00BE2DC5"/>
    <w:rsid w:val="00BE40BA"/>
    <w:rsid w:val="00BE45EB"/>
    <w:rsid w:val="00BE65A3"/>
    <w:rsid w:val="00BE6A5D"/>
    <w:rsid w:val="00BE7287"/>
    <w:rsid w:val="00BE7B84"/>
    <w:rsid w:val="00BF10AC"/>
    <w:rsid w:val="00BF2CA9"/>
    <w:rsid w:val="00BF2CAD"/>
    <w:rsid w:val="00BF407A"/>
    <w:rsid w:val="00BF6094"/>
    <w:rsid w:val="00BF69E0"/>
    <w:rsid w:val="00BF73A2"/>
    <w:rsid w:val="00BF746C"/>
    <w:rsid w:val="00C001B9"/>
    <w:rsid w:val="00C021D5"/>
    <w:rsid w:val="00C0356F"/>
    <w:rsid w:val="00C03EFB"/>
    <w:rsid w:val="00C051DB"/>
    <w:rsid w:val="00C05CE9"/>
    <w:rsid w:val="00C05ECB"/>
    <w:rsid w:val="00C062D4"/>
    <w:rsid w:val="00C07616"/>
    <w:rsid w:val="00C0779D"/>
    <w:rsid w:val="00C07902"/>
    <w:rsid w:val="00C07D62"/>
    <w:rsid w:val="00C1029D"/>
    <w:rsid w:val="00C10C81"/>
    <w:rsid w:val="00C10F42"/>
    <w:rsid w:val="00C12E58"/>
    <w:rsid w:val="00C14611"/>
    <w:rsid w:val="00C14693"/>
    <w:rsid w:val="00C14AAC"/>
    <w:rsid w:val="00C153D8"/>
    <w:rsid w:val="00C155C0"/>
    <w:rsid w:val="00C17E50"/>
    <w:rsid w:val="00C20269"/>
    <w:rsid w:val="00C210CE"/>
    <w:rsid w:val="00C21189"/>
    <w:rsid w:val="00C21C6B"/>
    <w:rsid w:val="00C23405"/>
    <w:rsid w:val="00C238D6"/>
    <w:rsid w:val="00C2392D"/>
    <w:rsid w:val="00C24ED8"/>
    <w:rsid w:val="00C25E21"/>
    <w:rsid w:val="00C25FC3"/>
    <w:rsid w:val="00C26D01"/>
    <w:rsid w:val="00C27EAA"/>
    <w:rsid w:val="00C321E2"/>
    <w:rsid w:val="00C32533"/>
    <w:rsid w:val="00C33264"/>
    <w:rsid w:val="00C33F1A"/>
    <w:rsid w:val="00C3487E"/>
    <w:rsid w:val="00C360D9"/>
    <w:rsid w:val="00C4202D"/>
    <w:rsid w:val="00C42A07"/>
    <w:rsid w:val="00C43981"/>
    <w:rsid w:val="00C44621"/>
    <w:rsid w:val="00C45317"/>
    <w:rsid w:val="00C46113"/>
    <w:rsid w:val="00C46C8B"/>
    <w:rsid w:val="00C4789B"/>
    <w:rsid w:val="00C47CE6"/>
    <w:rsid w:val="00C5404B"/>
    <w:rsid w:val="00C54C4A"/>
    <w:rsid w:val="00C55B1D"/>
    <w:rsid w:val="00C5698C"/>
    <w:rsid w:val="00C569FA"/>
    <w:rsid w:val="00C5797C"/>
    <w:rsid w:val="00C57EE9"/>
    <w:rsid w:val="00C618A8"/>
    <w:rsid w:val="00C6339D"/>
    <w:rsid w:val="00C64238"/>
    <w:rsid w:val="00C6435D"/>
    <w:rsid w:val="00C64926"/>
    <w:rsid w:val="00C65F09"/>
    <w:rsid w:val="00C6694D"/>
    <w:rsid w:val="00C66AFF"/>
    <w:rsid w:val="00C717E4"/>
    <w:rsid w:val="00C71F9C"/>
    <w:rsid w:val="00C72130"/>
    <w:rsid w:val="00C72FB1"/>
    <w:rsid w:val="00C73F74"/>
    <w:rsid w:val="00C74070"/>
    <w:rsid w:val="00C743E9"/>
    <w:rsid w:val="00C7472E"/>
    <w:rsid w:val="00C75E20"/>
    <w:rsid w:val="00C75F93"/>
    <w:rsid w:val="00C76815"/>
    <w:rsid w:val="00C76ABB"/>
    <w:rsid w:val="00C773E7"/>
    <w:rsid w:val="00C80193"/>
    <w:rsid w:val="00C8077E"/>
    <w:rsid w:val="00C81873"/>
    <w:rsid w:val="00C831AB"/>
    <w:rsid w:val="00C8347D"/>
    <w:rsid w:val="00C83A82"/>
    <w:rsid w:val="00C85359"/>
    <w:rsid w:val="00C86106"/>
    <w:rsid w:val="00C87E37"/>
    <w:rsid w:val="00C9047E"/>
    <w:rsid w:val="00C90BB3"/>
    <w:rsid w:val="00C90CFE"/>
    <w:rsid w:val="00C9360F"/>
    <w:rsid w:val="00C96359"/>
    <w:rsid w:val="00C965FA"/>
    <w:rsid w:val="00CA0056"/>
    <w:rsid w:val="00CA14D0"/>
    <w:rsid w:val="00CA252D"/>
    <w:rsid w:val="00CA3DB3"/>
    <w:rsid w:val="00CA60F6"/>
    <w:rsid w:val="00CA7255"/>
    <w:rsid w:val="00CA72EE"/>
    <w:rsid w:val="00CB10FD"/>
    <w:rsid w:val="00CB3B76"/>
    <w:rsid w:val="00CB64C3"/>
    <w:rsid w:val="00CB67F9"/>
    <w:rsid w:val="00CC0AC6"/>
    <w:rsid w:val="00CC149C"/>
    <w:rsid w:val="00CC254B"/>
    <w:rsid w:val="00CC4BA7"/>
    <w:rsid w:val="00CC5013"/>
    <w:rsid w:val="00CC6800"/>
    <w:rsid w:val="00CC68F4"/>
    <w:rsid w:val="00CC6E3A"/>
    <w:rsid w:val="00CD35D7"/>
    <w:rsid w:val="00CD3A01"/>
    <w:rsid w:val="00CD68D7"/>
    <w:rsid w:val="00CE241B"/>
    <w:rsid w:val="00CE3301"/>
    <w:rsid w:val="00CE4FE1"/>
    <w:rsid w:val="00CE594D"/>
    <w:rsid w:val="00CE5DE8"/>
    <w:rsid w:val="00CE7661"/>
    <w:rsid w:val="00CE7EC1"/>
    <w:rsid w:val="00CF025B"/>
    <w:rsid w:val="00CF0E4E"/>
    <w:rsid w:val="00CF4547"/>
    <w:rsid w:val="00CF5168"/>
    <w:rsid w:val="00CF570B"/>
    <w:rsid w:val="00CF5927"/>
    <w:rsid w:val="00CF730D"/>
    <w:rsid w:val="00CF7E1D"/>
    <w:rsid w:val="00D01F04"/>
    <w:rsid w:val="00D02B52"/>
    <w:rsid w:val="00D02DA8"/>
    <w:rsid w:val="00D04A7A"/>
    <w:rsid w:val="00D0563E"/>
    <w:rsid w:val="00D056CE"/>
    <w:rsid w:val="00D06CDA"/>
    <w:rsid w:val="00D110C8"/>
    <w:rsid w:val="00D1170C"/>
    <w:rsid w:val="00D12E24"/>
    <w:rsid w:val="00D14269"/>
    <w:rsid w:val="00D157EA"/>
    <w:rsid w:val="00D170CA"/>
    <w:rsid w:val="00D170D3"/>
    <w:rsid w:val="00D17BF2"/>
    <w:rsid w:val="00D20672"/>
    <w:rsid w:val="00D2301D"/>
    <w:rsid w:val="00D24A1D"/>
    <w:rsid w:val="00D25BEC"/>
    <w:rsid w:val="00D26F82"/>
    <w:rsid w:val="00D27B2D"/>
    <w:rsid w:val="00D30023"/>
    <w:rsid w:val="00D3179A"/>
    <w:rsid w:val="00D321BA"/>
    <w:rsid w:val="00D326BF"/>
    <w:rsid w:val="00D327D1"/>
    <w:rsid w:val="00D33071"/>
    <w:rsid w:val="00D33890"/>
    <w:rsid w:val="00D3396A"/>
    <w:rsid w:val="00D34B08"/>
    <w:rsid w:val="00D35363"/>
    <w:rsid w:val="00D354B9"/>
    <w:rsid w:val="00D35A60"/>
    <w:rsid w:val="00D365B4"/>
    <w:rsid w:val="00D40A77"/>
    <w:rsid w:val="00D41C41"/>
    <w:rsid w:val="00D420F1"/>
    <w:rsid w:val="00D43653"/>
    <w:rsid w:val="00D440DF"/>
    <w:rsid w:val="00D45899"/>
    <w:rsid w:val="00D46378"/>
    <w:rsid w:val="00D46AF1"/>
    <w:rsid w:val="00D47239"/>
    <w:rsid w:val="00D507C4"/>
    <w:rsid w:val="00D50CB4"/>
    <w:rsid w:val="00D52D35"/>
    <w:rsid w:val="00D53971"/>
    <w:rsid w:val="00D54F01"/>
    <w:rsid w:val="00D56135"/>
    <w:rsid w:val="00D57A15"/>
    <w:rsid w:val="00D57CF8"/>
    <w:rsid w:val="00D6058A"/>
    <w:rsid w:val="00D62074"/>
    <w:rsid w:val="00D6266E"/>
    <w:rsid w:val="00D64169"/>
    <w:rsid w:val="00D65960"/>
    <w:rsid w:val="00D671F5"/>
    <w:rsid w:val="00D735E0"/>
    <w:rsid w:val="00D76039"/>
    <w:rsid w:val="00D766DE"/>
    <w:rsid w:val="00D77DD7"/>
    <w:rsid w:val="00D80DAF"/>
    <w:rsid w:val="00D81DC4"/>
    <w:rsid w:val="00D84DA2"/>
    <w:rsid w:val="00D86C43"/>
    <w:rsid w:val="00D87A30"/>
    <w:rsid w:val="00D90E1D"/>
    <w:rsid w:val="00D910B4"/>
    <w:rsid w:val="00D92217"/>
    <w:rsid w:val="00D9427D"/>
    <w:rsid w:val="00D951FB"/>
    <w:rsid w:val="00D95BFE"/>
    <w:rsid w:val="00D95F85"/>
    <w:rsid w:val="00D96789"/>
    <w:rsid w:val="00D96874"/>
    <w:rsid w:val="00D96D8B"/>
    <w:rsid w:val="00D96F97"/>
    <w:rsid w:val="00DA2520"/>
    <w:rsid w:val="00DA2737"/>
    <w:rsid w:val="00DA358E"/>
    <w:rsid w:val="00DA3BA1"/>
    <w:rsid w:val="00DA4774"/>
    <w:rsid w:val="00DA5FC7"/>
    <w:rsid w:val="00DA69BD"/>
    <w:rsid w:val="00DB0031"/>
    <w:rsid w:val="00DB0A5C"/>
    <w:rsid w:val="00DB0EB1"/>
    <w:rsid w:val="00DB1259"/>
    <w:rsid w:val="00DB285D"/>
    <w:rsid w:val="00DB35CE"/>
    <w:rsid w:val="00DB5397"/>
    <w:rsid w:val="00DB796F"/>
    <w:rsid w:val="00DC0080"/>
    <w:rsid w:val="00DC1C7D"/>
    <w:rsid w:val="00DC49C9"/>
    <w:rsid w:val="00DC5FFA"/>
    <w:rsid w:val="00DC673E"/>
    <w:rsid w:val="00DC699C"/>
    <w:rsid w:val="00DC69F2"/>
    <w:rsid w:val="00DC6FEE"/>
    <w:rsid w:val="00DC75DF"/>
    <w:rsid w:val="00DC7818"/>
    <w:rsid w:val="00DC7997"/>
    <w:rsid w:val="00DD0C72"/>
    <w:rsid w:val="00DD11F5"/>
    <w:rsid w:val="00DD2968"/>
    <w:rsid w:val="00DD2E57"/>
    <w:rsid w:val="00DD2FF9"/>
    <w:rsid w:val="00DD517E"/>
    <w:rsid w:val="00DD64FA"/>
    <w:rsid w:val="00DD6930"/>
    <w:rsid w:val="00DD6E7B"/>
    <w:rsid w:val="00DD7C9E"/>
    <w:rsid w:val="00DD7D24"/>
    <w:rsid w:val="00DE1234"/>
    <w:rsid w:val="00DE125E"/>
    <w:rsid w:val="00DE3790"/>
    <w:rsid w:val="00DE3DBB"/>
    <w:rsid w:val="00DE41D6"/>
    <w:rsid w:val="00DE5179"/>
    <w:rsid w:val="00DE5443"/>
    <w:rsid w:val="00DE5FDF"/>
    <w:rsid w:val="00DE6351"/>
    <w:rsid w:val="00DE6ACB"/>
    <w:rsid w:val="00DE6C62"/>
    <w:rsid w:val="00DE774B"/>
    <w:rsid w:val="00DF06DA"/>
    <w:rsid w:val="00DF0E86"/>
    <w:rsid w:val="00DF4272"/>
    <w:rsid w:val="00DF7CB8"/>
    <w:rsid w:val="00E00A1A"/>
    <w:rsid w:val="00E01506"/>
    <w:rsid w:val="00E02726"/>
    <w:rsid w:val="00E058AC"/>
    <w:rsid w:val="00E07700"/>
    <w:rsid w:val="00E1121B"/>
    <w:rsid w:val="00E115B4"/>
    <w:rsid w:val="00E1171E"/>
    <w:rsid w:val="00E14EFA"/>
    <w:rsid w:val="00E171E5"/>
    <w:rsid w:val="00E1761F"/>
    <w:rsid w:val="00E20807"/>
    <w:rsid w:val="00E2267F"/>
    <w:rsid w:val="00E23BF9"/>
    <w:rsid w:val="00E24343"/>
    <w:rsid w:val="00E24D68"/>
    <w:rsid w:val="00E256DD"/>
    <w:rsid w:val="00E259FE"/>
    <w:rsid w:val="00E26065"/>
    <w:rsid w:val="00E27792"/>
    <w:rsid w:val="00E27A0E"/>
    <w:rsid w:val="00E27C28"/>
    <w:rsid w:val="00E3053A"/>
    <w:rsid w:val="00E30702"/>
    <w:rsid w:val="00E3087E"/>
    <w:rsid w:val="00E30893"/>
    <w:rsid w:val="00E32C83"/>
    <w:rsid w:val="00E32DB4"/>
    <w:rsid w:val="00E33594"/>
    <w:rsid w:val="00E336B1"/>
    <w:rsid w:val="00E3417B"/>
    <w:rsid w:val="00E3622F"/>
    <w:rsid w:val="00E36549"/>
    <w:rsid w:val="00E3668B"/>
    <w:rsid w:val="00E4158D"/>
    <w:rsid w:val="00E429EC"/>
    <w:rsid w:val="00E44815"/>
    <w:rsid w:val="00E457B2"/>
    <w:rsid w:val="00E5071A"/>
    <w:rsid w:val="00E543D0"/>
    <w:rsid w:val="00E54565"/>
    <w:rsid w:val="00E547B7"/>
    <w:rsid w:val="00E54DA5"/>
    <w:rsid w:val="00E55909"/>
    <w:rsid w:val="00E55CEA"/>
    <w:rsid w:val="00E55ED7"/>
    <w:rsid w:val="00E56A83"/>
    <w:rsid w:val="00E577F9"/>
    <w:rsid w:val="00E6156D"/>
    <w:rsid w:val="00E61FB0"/>
    <w:rsid w:val="00E62151"/>
    <w:rsid w:val="00E626EB"/>
    <w:rsid w:val="00E62AF3"/>
    <w:rsid w:val="00E6398D"/>
    <w:rsid w:val="00E641F5"/>
    <w:rsid w:val="00E645A5"/>
    <w:rsid w:val="00E64F07"/>
    <w:rsid w:val="00E66912"/>
    <w:rsid w:val="00E67D15"/>
    <w:rsid w:val="00E702FB"/>
    <w:rsid w:val="00E708A3"/>
    <w:rsid w:val="00E70F05"/>
    <w:rsid w:val="00E7113D"/>
    <w:rsid w:val="00E71A3E"/>
    <w:rsid w:val="00E721B5"/>
    <w:rsid w:val="00E725EA"/>
    <w:rsid w:val="00E73BBC"/>
    <w:rsid w:val="00E73F25"/>
    <w:rsid w:val="00E74353"/>
    <w:rsid w:val="00E7738F"/>
    <w:rsid w:val="00E77929"/>
    <w:rsid w:val="00E80B07"/>
    <w:rsid w:val="00E84182"/>
    <w:rsid w:val="00E841E4"/>
    <w:rsid w:val="00E84255"/>
    <w:rsid w:val="00E84718"/>
    <w:rsid w:val="00E853C6"/>
    <w:rsid w:val="00E85854"/>
    <w:rsid w:val="00E85E4D"/>
    <w:rsid w:val="00E877A5"/>
    <w:rsid w:val="00E87E53"/>
    <w:rsid w:val="00E90A60"/>
    <w:rsid w:val="00E90D5F"/>
    <w:rsid w:val="00E92AC5"/>
    <w:rsid w:val="00E92C86"/>
    <w:rsid w:val="00E92F6E"/>
    <w:rsid w:val="00E94624"/>
    <w:rsid w:val="00E95006"/>
    <w:rsid w:val="00E965E7"/>
    <w:rsid w:val="00EA0AE6"/>
    <w:rsid w:val="00EA0B38"/>
    <w:rsid w:val="00EA3E9B"/>
    <w:rsid w:val="00EA4FC6"/>
    <w:rsid w:val="00EA7174"/>
    <w:rsid w:val="00EA7779"/>
    <w:rsid w:val="00EB2009"/>
    <w:rsid w:val="00EB288B"/>
    <w:rsid w:val="00EB35E3"/>
    <w:rsid w:val="00EB5741"/>
    <w:rsid w:val="00EB6594"/>
    <w:rsid w:val="00EB70C6"/>
    <w:rsid w:val="00EB751A"/>
    <w:rsid w:val="00EC00E6"/>
    <w:rsid w:val="00EC1087"/>
    <w:rsid w:val="00EC2714"/>
    <w:rsid w:val="00EC28AE"/>
    <w:rsid w:val="00EC4B14"/>
    <w:rsid w:val="00EC575F"/>
    <w:rsid w:val="00EC680D"/>
    <w:rsid w:val="00EC70DC"/>
    <w:rsid w:val="00ED5618"/>
    <w:rsid w:val="00ED6F89"/>
    <w:rsid w:val="00ED701C"/>
    <w:rsid w:val="00ED7345"/>
    <w:rsid w:val="00EE12CC"/>
    <w:rsid w:val="00EE2EF9"/>
    <w:rsid w:val="00EE32B9"/>
    <w:rsid w:val="00EE355F"/>
    <w:rsid w:val="00EE3740"/>
    <w:rsid w:val="00EE3990"/>
    <w:rsid w:val="00EE51F9"/>
    <w:rsid w:val="00EE561E"/>
    <w:rsid w:val="00EE6BD8"/>
    <w:rsid w:val="00EE71F6"/>
    <w:rsid w:val="00EE7AE7"/>
    <w:rsid w:val="00EF00D7"/>
    <w:rsid w:val="00EF0599"/>
    <w:rsid w:val="00EF0654"/>
    <w:rsid w:val="00EF1CA1"/>
    <w:rsid w:val="00EF2529"/>
    <w:rsid w:val="00EF2C0D"/>
    <w:rsid w:val="00EF2C1A"/>
    <w:rsid w:val="00EF3A6E"/>
    <w:rsid w:val="00EF4DFD"/>
    <w:rsid w:val="00EF52C6"/>
    <w:rsid w:val="00EF6504"/>
    <w:rsid w:val="00F00311"/>
    <w:rsid w:val="00F01D3D"/>
    <w:rsid w:val="00F0253F"/>
    <w:rsid w:val="00F063EE"/>
    <w:rsid w:val="00F1032B"/>
    <w:rsid w:val="00F11228"/>
    <w:rsid w:val="00F121DD"/>
    <w:rsid w:val="00F13403"/>
    <w:rsid w:val="00F14E2F"/>
    <w:rsid w:val="00F16A33"/>
    <w:rsid w:val="00F202E7"/>
    <w:rsid w:val="00F21C72"/>
    <w:rsid w:val="00F22189"/>
    <w:rsid w:val="00F23F9C"/>
    <w:rsid w:val="00F240C2"/>
    <w:rsid w:val="00F25290"/>
    <w:rsid w:val="00F304DE"/>
    <w:rsid w:val="00F32B2C"/>
    <w:rsid w:val="00F345CF"/>
    <w:rsid w:val="00F355F8"/>
    <w:rsid w:val="00F36789"/>
    <w:rsid w:val="00F37836"/>
    <w:rsid w:val="00F405A1"/>
    <w:rsid w:val="00F40EE9"/>
    <w:rsid w:val="00F43567"/>
    <w:rsid w:val="00F43C8E"/>
    <w:rsid w:val="00F45E47"/>
    <w:rsid w:val="00F47583"/>
    <w:rsid w:val="00F50B70"/>
    <w:rsid w:val="00F52DC7"/>
    <w:rsid w:val="00F52EC8"/>
    <w:rsid w:val="00F5398A"/>
    <w:rsid w:val="00F561D0"/>
    <w:rsid w:val="00F56CB1"/>
    <w:rsid w:val="00F574A9"/>
    <w:rsid w:val="00F649DA"/>
    <w:rsid w:val="00F64C8C"/>
    <w:rsid w:val="00F65EC7"/>
    <w:rsid w:val="00F675EE"/>
    <w:rsid w:val="00F70D26"/>
    <w:rsid w:val="00F70DE6"/>
    <w:rsid w:val="00F74147"/>
    <w:rsid w:val="00F74946"/>
    <w:rsid w:val="00F75698"/>
    <w:rsid w:val="00F75A39"/>
    <w:rsid w:val="00F76549"/>
    <w:rsid w:val="00F76B5A"/>
    <w:rsid w:val="00F807CD"/>
    <w:rsid w:val="00F813BA"/>
    <w:rsid w:val="00F82437"/>
    <w:rsid w:val="00F828F8"/>
    <w:rsid w:val="00F85290"/>
    <w:rsid w:val="00F865D1"/>
    <w:rsid w:val="00F86699"/>
    <w:rsid w:val="00F86E7B"/>
    <w:rsid w:val="00F902F6"/>
    <w:rsid w:val="00F904AB"/>
    <w:rsid w:val="00F90F93"/>
    <w:rsid w:val="00F93032"/>
    <w:rsid w:val="00F93A01"/>
    <w:rsid w:val="00F93B12"/>
    <w:rsid w:val="00F93D35"/>
    <w:rsid w:val="00FA1E91"/>
    <w:rsid w:val="00FA52A1"/>
    <w:rsid w:val="00FA55E9"/>
    <w:rsid w:val="00FA5621"/>
    <w:rsid w:val="00FA5756"/>
    <w:rsid w:val="00FA5781"/>
    <w:rsid w:val="00FB2259"/>
    <w:rsid w:val="00FB54CF"/>
    <w:rsid w:val="00FB70F9"/>
    <w:rsid w:val="00FB7260"/>
    <w:rsid w:val="00FC012D"/>
    <w:rsid w:val="00FC0486"/>
    <w:rsid w:val="00FC06D2"/>
    <w:rsid w:val="00FC1446"/>
    <w:rsid w:val="00FC15F2"/>
    <w:rsid w:val="00FC3509"/>
    <w:rsid w:val="00FC36F2"/>
    <w:rsid w:val="00FC4E80"/>
    <w:rsid w:val="00FC6E94"/>
    <w:rsid w:val="00FC789D"/>
    <w:rsid w:val="00FC7DCA"/>
    <w:rsid w:val="00FD07A5"/>
    <w:rsid w:val="00FD192F"/>
    <w:rsid w:val="00FD1B69"/>
    <w:rsid w:val="00FD4024"/>
    <w:rsid w:val="00FD5A3E"/>
    <w:rsid w:val="00FD5C8C"/>
    <w:rsid w:val="00FD6F66"/>
    <w:rsid w:val="00FE048C"/>
    <w:rsid w:val="00FE05F2"/>
    <w:rsid w:val="00FE1CFC"/>
    <w:rsid w:val="00FE2067"/>
    <w:rsid w:val="00FE2390"/>
    <w:rsid w:val="00FE2CB9"/>
    <w:rsid w:val="00FE3F11"/>
    <w:rsid w:val="00FE4E9D"/>
    <w:rsid w:val="00FE5BAD"/>
    <w:rsid w:val="00FF0BFC"/>
    <w:rsid w:val="00FF21D2"/>
    <w:rsid w:val="00FF3464"/>
    <w:rsid w:val="00FF3C7E"/>
    <w:rsid w:val="00FF48CC"/>
    <w:rsid w:val="00FF4EDA"/>
    <w:rsid w:val="00FF549F"/>
    <w:rsid w:val="00FF77BC"/>
    <w:rsid w:val="0AF6847F"/>
    <w:rsid w:val="12E9F713"/>
    <w:rsid w:val="167E0078"/>
    <w:rsid w:val="16AD0FBB"/>
    <w:rsid w:val="18F1BCB8"/>
    <w:rsid w:val="3A9F7025"/>
    <w:rsid w:val="43F57517"/>
    <w:rsid w:val="4F9848C8"/>
    <w:rsid w:val="5409502B"/>
    <w:rsid w:val="644CCEDE"/>
    <w:rsid w:val="7AD6370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8041E"/>
  <w15:docId w15:val="{5A21934B-44C9-42A1-9B54-A597E57C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5A3"/>
  </w:style>
  <w:style w:type="paragraph" w:styleId="Heading1">
    <w:name w:val="heading 1"/>
    <w:basedOn w:val="Normal"/>
    <w:next w:val="Normal"/>
    <w:link w:val="Heading1Char"/>
    <w:uiPriority w:val="9"/>
    <w:qFormat/>
    <w:rsid w:val="00722B64"/>
    <w:pPr>
      <w:keepNext/>
      <w:keepLines/>
      <w:spacing w:before="480" w:after="0"/>
      <w:outlineLvl w:val="0"/>
    </w:pPr>
    <w:rPr>
      <w:rFonts w:ascii="Gotham Book" w:eastAsiaTheme="majorEastAsia" w:hAnsi="Gotham Book" w:cstheme="majorBidi"/>
      <w:b/>
      <w:bCs/>
      <w:color w:val="354052"/>
      <w:sz w:val="32"/>
      <w:szCs w:val="28"/>
    </w:rPr>
  </w:style>
  <w:style w:type="paragraph" w:styleId="Heading2">
    <w:name w:val="heading 2"/>
    <w:basedOn w:val="Normal"/>
    <w:next w:val="Normal"/>
    <w:link w:val="Heading2Char"/>
    <w:uiPriority w:val="9"/>
    <w:unhideWhenUsed/>
    <w:qFormat/>
    <w:rsid w:val="000E26A3"/>
    <w:pPr>
      <w:keepNext/>
      <w:keepLines/>
      <w:numPr>
        <w:numId w:val="3"/>
      </w:numPr>
      <w:spacing w:before="200" w:after="0"/>
      <w:ind w:left="360"/>
      <w:outlineLvl w:val="1"/>
    </w:pPr>
    <w:rPr>
      <w:rFonts w:ascii="Gotham Book" w:eastAsiaTheme="majorEastAsia" w:hAnsi="Gotham Book" w:cstheme="majorBidi"/>
      <w:b/>
      <w:bCs/>
      <w:color w:val="354052"/>
      <w:sz w:val="28"/>
      <w:szCs w:val="26"/>
    </w:rPr>
  </w:style>
  <w:style w:type="paragraph" w:styleId="Heading3">
    <w:name w:val="heading 3"/>
    <w:basedOn w:val="ListParagraph"/>
    <w:next w:val="Normal"/>
    <w:link w:val="Heading3Char"/>
    <w:uiPriority w:val="9"/>
    <w:unhideWhenUsed/>
    <w:qFormat/>
    <w:rsid w:val="00BE65A3"/>
    <w:pPr>
      <w:numPr>
        <w:numId w:val="2"/>
      </w:numPr>
      <w:outlineLvl w:val="2"/>
    </w:pPr>
    <w:rPr>
      <w:rFonts w:ascii="Arial" w:hAnsi="Arial" w:cs="Arial"/>
      <w:b/>
      <w:sz w:val="24"/>
    </w:rPr>
  </w:style>
  <w:style w:type="paragraph" w:styleId="Heading4">
    <w:name w:val="heading 4"/>
    <w:basedOn w:val="Normal"/>
    <w:next w:val="Normal"/>
    <w:link w:val="Heading4Char"/>
    <w:uiPriority w:val="9"/>
    <w:unhideWhenUsed/>
    <w:qFormat/>
    <w:rsid w:val="00006525"/>
    <w:pPr>
      <w:keepNext/>
      <w:keepLines/>
      <w:spacing w:before="40" w:after="0"/>
      <w:outlineLvl w:val="3"/>
    </w:pPr>
    <w:rPr>
      <w:rFonts w:ascii="Gotham Book" w:eastAsiaTheme="majorEastAsia" w:hAnsi="Gotham Book" w:cstheme="majorBidi"/>
      <w:b/>
      <w:iCs/>
      <w:color w:val="000000" w:themeColor="text1"/>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B64"/>
    <w:rPr>
      <w:rFonts w:ascii="Gotham Book" w:eastAsiaTheme="majorEastAsia" w:hAnsi="Gotham Book" w:cstheme="majorBidi"/>
      <w:b/>
      <w:bCs/>
      <w:color w:val="354052"/>
      <w:sz w:val="32"/>
      <w:szCs w:val="28"/>
    </w:rPr>
  </w:style>
  <w:style w:type="paragraph" w:styleId="Title">
    <w:name w:val="Title"/>
    <w:basedOn w:val="Normal"/>
    <w:next w:val="Normal"/>
    <w:link w:val="TitleChar"/>
    <w:uiPriority w:val="10"/>
    <w:qFormat/>
    <w:rsid w:val="00F43C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3C8E"/>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062942"/>
    <w:rPr>
      <w:i/>
      <w:iCs/>
      <w:color w:val="808080" w:themeColor="text1" w:themeTint="7F"/>
    </w:rPr>
  </w:style>
  <w:style w:type="paragraph" w:styleId="ListParagraph">
    <w:name w:val="List Paragraph"/>
    <w:aliases w:val="#List Paragraph,List Paragraph1,List Paragraph11,Recommendation"/>
    <w:basedOn w:val="Normal"/>
    <w:link w:val="ListParagraphChar"/>
    <w:uiPriority w:val="34"/>
    <w:qFormat/>
    <w:rsid w:val="002B56E5"/>
    <w:pPr>
      <w:ind w:left="720"/>
      <w:contextualSpacing/>
    </w:pPr>
  </w:style>
  <w:style w:type="character" w:styleId="Hyperlink">
    <w:name w:val="Hyperlink"/>
    <w:basedOn w:val="DefaultParagraphFont"/>
    <w:uiPriority w:val="99"/>
    <w:unhideWhenUsed/>
    <w:rsid w:val="00347583"/>
    <w:rPr>
      <w:color w:val="0000FF" w:themeColor="hyperlink"/>
      <w:u w:val="single"/>
    </w:rPr>
  </w:style>
  <w:style w:type="table" w:styleId="TableGrid">
    <w:name w:val="Table Grid"/>
    <w:basedOn w:val="TableNormal"/>
    <w:uiPriority w:val="59"/>
    <w:rsid w:val="00B8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A2A"/>
    <w:rPr>
      <w:sz w:val="16"/>
      <w:szCs w:val="16"/>
    </w:rPr>
  </w:style>
  <w:style w:type="paragraph" w:styleId="CommentText">
    <w:name w:val="annotation text"/>
    <w:basedOn w:val="Normal"/>
    <w:link w:val="CommentTextChar"/>
    <w:uiPriority w:val="99"/>
    <w:unhideWhenUsed/>
    <w:rsid w:val="00B54A2A"/>
    <w:pPr>
      <w:spacing w:line="240" w:lineRule="auto"/>
    </w:pPr>
    <w:rPr>
      <w:sz w:val="20"/>
      <w:szCs w:val="20"/>
    </w:rPr>
  </w:style>
  <w:style w:type="character" w:customStyle="1" w:styleId="CommentTextChar">
    <w:name w:val="Comment Text Char"/>
    <w:basedOn w:val="DefaultParagraphFont"/>
    <w:link w:val="CommentText"/>
    <w:uiPriority w:val="99"/>
    <w:rsid w:val="00B54A2A"/>
    <w:rPr>
      <w:sz w:val="20"/>
      <w:szCs w:val="20"/>
    </w:rPr>
  </w:style>
  <w:style w:type="paragraph" w:styleId="CommentSubject">
    <w:name w:val="annotation subject"/>
    <w:basedOn w:val="CommentText"/>
    <w:next w:val="CommentText"/>
    <w:link w:val="CommentSubjectChar"/>
    <w:uiPriority w:val="99"/>
    <w:semiHidden/>
    <w:unhideWhenUsed/>
    <w:rsid w:val="00B54A2A"/>
    <w:rPr>
      <w:b/>
      <w:bCs/>
    </w:rPr>
  </w:style>
  <w:style w:type="character" w:customStyle="1" w:styleId="CommentSubjectChar">
    <w:name w:val="Comment Subject Char"/>
    <w:basedOn w:val="CommentTextChar"/>
    <w:link w:val="CommentSubject"/>
    <w:uiPriority w:val="99"/>
    <w:semiHidden/>
    <w:rsid w:val="00B54A2A"/>
    <w:rPr>
      <w:b/>
      <w:bCs/>
      <w:sz w:val="20"/>
      <w:szCs w:val="20"/>
    </w:rPr>
  </w:style>
  <w:style w:type="paragraph" w:styleId="BalloonText">
    <w:name w:val="Balloon Text"/>
    <w:basedOn w:val="Normal"/>
    <w:link w:val="BalloonTextChar"/>
    <w:uiPriority w:val="99"/>
    <w:semiHidden/>
    <w:unhideWhenUsed/>
    <w:rsid w:val="00B54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A2A"/>
    <w:rPr>
      <w:rFonts w:ascii="Tahoma" w:hAnsi="Tahoma" w:cs="Tahoma"/>
      <w:sz w:val="16"/>
      <w:szCs w:val="16"/>
    </w:rPr>
  </w:style>
  <w:style w:type="character" w:styleId="FollowedHyperlink">
    <w:name w:val="FollowedHyperlink"/>
    <w:basedOn w:val="DefaultParagraphFont"/>
    <w:uiPriority w:val="99"/>
    <w:semiHidden/>
    <w:unhideWhenUsed/>
    <w:rsid w:val="009A1CD5"/>
    <w:rPr>
      <w:color w:val="800080" w:themeColor="followedHyperlink"/>
      <w:u w:val="single"/>
    </w:rPr>
  </w:style>
  <w:style w:type="paragraph" w:styleId="Subtitle">
    <w:name w:val="Subtitle"/>
    <w:basedOn w:val="Normal"/>
    <w:next w:val="Normal"/>
    <w:link w:val="SubtitleChar"/>
    <w:uiPriority w:val="11"/>
    <w:qFormat/>
    <w:rsid w:val="00AA2A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A2A5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333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343"/>
  </w:style>
  <w:style w:type="paragraph" w:styleId="Footer">
    <w:name w:val="footer"/>
    <w:basedOn w:val="Normal"/>
    <w:link w:val="FooterChar"/>
    <w:uiPriority w:val="99"/>
    <w:unhideWhenUsed/>
    <w:rsid w:val="00333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343"/>
  </w:style>
  <w:style w:type="paragraph" w:styleId="TOCHeading">
    <w:name w:val="TOC Heading"/>
    <w:basedOn w:val="Heading1"/>
    <w:next w:val="Normal"/>
    <w:uiPriority w:val="39"/>
    <w:unhideWhenUsed/>
    <w:qFormat/>
    <w:rsid w:val="00BE65A3"/>
    <w:pPr>
      <w:outlineLvl w:val="9"/>
    </w:pPr>
    <w:rPr>
      <w:lang w:val="en-US" w:eastAsia="ja-JP"/>
    </w:rPr>
  </w:style>
  <w:style w:type="character" w:customStyle="1" w:styleId="Heading3Char">
    <w:name w:val="Heading 3 Char"/>
    <w:basedOn w:val="DefaultParagraphFont"/>
    <w:link w:val="Heading3"/>
    <w:uiPriority w:val="9"/>
    <w:rsid w:val="00BE65A3"/>
    <w:rPr>
      <w:rFonts w:ascii="Arial" w:hAnsi="Arial" w:cs="Arial"/>
      <w:b/>
      <w:sz w:val="24"/>
    </w:rPr>
  </w:style>
  <w:style w:type="paragraph" w:styleId="TOC1">
    <w:name w:val="toc 1"/>
    <w:basedOn w:val="Normal"/>
    <w:next w:val="Normal"/>
    <w:autoRedefine/>
    <w:uiPriority w:val="39"/>
    <w:unhideWhenUsed/>
    <w:rsid w:val="007B3996"/>
    <w:pPr>
      <w:tabs>
        <w:tab w:val="right" w:leader="dot" w:pos="9016"/>
      </w:tabs>
      <w:spacing w:after="100"/>
    </w:pPr>
  </w:style>
  <w:style w:type="paragraph" w:styleId="TOC3">
    <w:name w:val="toc 3"/>
    <w:basedOn w:val="Normal"/>
    <w:next w:val="Normal"/>
    <w:autoRedefine/>
    <w:uiPriority w:val="39"/>
    <w:unhideWhenUsed/>
    <w:rsid w:val="001F415B"/>
    <w:pPr>
      <w:tabs>
        <w:tab w:val="left" w:pos="880"/>
        <w:tab w:val="right" w:leader="dot" w:pos="9016"/>
      </w:tabs>
      <w:spacing w:after="0" w:line="360" w:lineRule="auto"/>
      <w:ind w:left="482"/>
    </w:pPr>
  </w:style>
  <w:style w:type="paragraph" w:styleId="FootnoteText">
    <w:name w:val="footnote text"/>
    <w:basedOn w:val="Normal"/>
    <w:link w:val="FootnoteTextChar"/>
    <w:semiHidden/>
    <w:unhideWhenUsed/>
    <w:rsid w:val="00675AD4"/>
    <w:pPr>
      <w:spacing w:after="0" w:line="240" w:lineRule="auto"/>
    </w:pPr>
    <w:rPr>
      <w:sz w:val="20"/>
      <w:szCs w:val="20"/>
    </w:rPr>
  </w:style>
  <w:style w:type="character" w:customStyle="1" w:styleId="FootnoteTextChar">
    <w:name w:val="Footnote Text Char"/>
    <w:basedOn w:val="DefaultParagraphFont"/>
    <w:link w:val="FootnoteText"/>
    <w:semiHidden/>
    <w:rsid w:val="00675AD4"/>
    <w:rPr>
      <w:sz w:val="20"/>
      <w:szCs w:val="20"/>
    </w:rPr>
  </w:style>
  <w:style w:type="character" w:styleId="FootnoteReference">
    <w:name w:val="footnote reference"/>
    <w:basedOn w:val="DefaultParagraphFont"/>
    <w:semiHidden/>
    <w:unhideWhenUsed/>
    <w:rsid w:val="00675AD4"/>
    <w:rPr>
      <w:vertAlign w:val="superscript"/>
    </w:rPr>
  </w:style>
  <w:style w:type="paragraph" w:styleId="Revision">
    <w:name w:val="Revision"/>
    <w:hidden/>
    <w:uiPriority w:val="99"/>
    <w:semiHidden/>
    <w:rsid w:val="009C0746"/>
    <w:pPr>
      <w:spacing w:after="0" w:line="240" w:lineRule="auto"/>
    </w:pPr>
  </w:style>
  <w:style w:type="paragraph" w:customStyle="1" w:styleId="Default">
    <w:name w:val="Default"/>
    <w:rsid w:val="00C32533"/>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0E26A3"/>
    <w:rPr>
      <w:rFonts w:ascii="Gotham Book" w:eastAsiaTheme="majorEastAsia" w:hAnsi="Gotham Book" w:cstheme="majorBidi"/>
      <w:b/>
      <w:bCs/>
      <w:color w:val="354052"/>
      <w:sz w:val="28"/>
      <w:szCs w:val="26"/>
    </w:rPr>
  </w:style>
  <w:style w:type="paragraph" w:styleId="TOC2">
    <w:name w:val="toc 2"/>
    <w:basedOn w:val="Normal"/>
    <w:next w:val="Normal"/>
    <w:autoRedefine/>
    <w:uiPriority w:val="39"/>
    <w:unhideWhenUsed/>
    <w:rsid w:val="0010057F"/>
    <w:pPr>
      <w:spacing w:after="100"/>
      <w:ind w:left="220"/>
    </w:pPr>
  </w:style>
  <w:style w:type="paragraph" w:styleId="EndnoteText">
    <w:name w:val="endnote text"/>
    <w:basedOn w:val="Normal"/>
    <w:link w:val="EndnoteTextChar"/>
    <w:uiPriority w:val="99"/>
    <w:semiHidden/>
    <w:unhideWhenUsed/>
    <w:rsid w:val="00DD69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6930"/>
    <w:rPr>
      <w:sz w:val="20"/>
      <w:szCs w:val="20"/>
    </w:rPr>
  </w:style>
  <w:style w:type="character" w:styleId="EndnoteReference">
    <w:name w:val="endnote reference"/>
    <w:basedOn w:val="DefaultParagraphFont"/>
    <w:uiPriority w:val="99"/>
    <w:semiHidden/>
    <w:unhideWhenUsed/>
    <w:rsid w:val="00DD6930"/>
    <w:rPr>
      <w:vertAlign w:val="superscript"/>
    </w:rPr>
  </w:style>
  <w:style w:type="character" w:styleId="Strong">
    <w:name w:val="Strong"/>
    <w:basedOn w:val="DefaultParagraphFont"/>
    <w:uiPriority w:val="22"/>
    <w:qFormat/>
    <w:rsid w:val="003A2E1A"/>
    <w:rPr>
      <w:b/>
      <w:bCs/>
    </w:rPr>
  </w:style>
  <w:style w:type="character" w:styleId="HTMLCite">
    <w:name w:val="HTML Cite"/>
    <w:basedOn w:val="DefaultParagraphFont"/>
    <w:uiPriority w:val="99"/>
    <w:semiHidden/>
    <w:unhideWhenUsed/>
    <w:rsid w:val="00876ECF"/>
    <w:rPr>
      <w:i/>
      <w:iCs/>
    </w:rPr>
  </w:style>
  <w:style w:type="character" w:customStyle="1" w:styleId="fs7">
    <w:name w:val="fs7"/>
    <w:basedOn w:val="DefaultParagraphFont"/>
    <w:rsid w:val="004B0E1A"/>
  </w:style>
  <w:style w:type="paragraph" w:customStyle="1" w:styleId="c-article-table-subtitle">
    <w:name w:val="c-article-table-subtitle"/>
    <w:basedOn w:val="Normal"/>
    <w:rsid w:val="009026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 Char,List Paragraph1 Char,List Paragraph11 Char,Recommendation Char"/>
    <w:link w:val="ListParagraph"/>
    <w:uiPriority w:val="34"/>
    <w:rsid w:val="00110D9C"/>
  </w:style>
  <w:style w:type="character" w:customStyle="1" w:styleId="Heading4Char">
    <w:name w:val="Heading 4 Char"/>
    <w:basedOn w:val="DefaultParagraphFont"/>
    <w:link w:val="Heading4"/>
    <w:uiPriority w:val="9"/>
    <w:rsid w:val="00006525"/>
    <w:rPr>
      <w:rFonts w:ascii="Gotham Book" w:eastAsiaTheme="majorEastAsia" w:hAnsi="Gotham Book" w:cstheme="majorBidi"/>
      <w:b/>
      <w:iCs/>
      <w:color w:val="000000" w:themeColor="text1"/>
      <w:sz w:val="23"/>
    </w:rPr>
  </w:style>
  <w:style w:type="character" w:styleId="UnresolvedMention">
    <w:name w:val="Unresolved Mention"/>
    <w:basedOn w:val="DefaultParagraphFont"/>
    <w:uiPriority w:val="99"/>
    <w:semiHidden/>
    <w:unhideWhenUsed/>
    <w:rsid w:val="00B766FD"/>
    <w:rPr>
      <w:color w:val="605E5C"/>
      <w:shd w:val="clear" w:color="auto" w:fill="E1DFDD"/>
    </w:rPr>
  </w:style>
  <w:style w:type="paragraph" w:styleId="NormalWeb">
    <w:name w:val="Normal (Web)"/>
    <w:basedOn w:val="Normal"/>
    <w:uiPriority w:val="99"/>
    <w:semiHidden/>
    <w:unhideWhenUsed/>
    <w:rsid w:val="00BA20E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071403">
      <w:bodyDiv w:val="1"/>
      <w:marLeft w:val="0"/>
      <w:marRight w:val="0"/>
      <w:marTop w:val="0"/>
      <w:marBottom w:val="0"/>
      <w:divBdr>
        <w:top w:val="none" w:sz="0" w:space="0" w:color="auto"/>
        <w:left w:val="none" w:sz="0" w:space="0" w:color="auto"/>
        <w:bottom w:val="none" w:sz="0" w:space="0" w:color="auto"/>
        <w:right w:val="none" w:sz="0" w:space="0" w:color="auto"/>
      </w:divBdr>
    </w:div>
    <w:div w:id="647634395">
      <w:bodyDiv w:val="1"/>
      <w:marLeft w:val="0"/>
      <w:marRight w:val="0"/>
      <w:marTop w:val="0"/>
      <w:marBottom w:val="0"/>
      <w:divBdr>
        <w:top w:val="none" w:sz="0" w:space="0" w:color="auto"/>
        <w:left w:val="none" w:sz="0" w:space="0" w:color="auto"/>
        <w:bottom w:val="none" w:sz="0" w:space="0" w:color="auto"/>
        <w:right w:val="none" w:sz="0" w:space="0" w:color="auto"/>
      </w:divBdr>
    </w:div>
    <w:div w:id="948203469">
      <w:bodyDiv w:val="1"/>
      <w:marLeft w:val="0"/>
      <w:marRight w:val="0"/>
      <w:marTop w:val="0"/>
      <w:marBottom w:val="0"/>
      <w:divBdr>
        <w:top w:val="none" w:sz="0" w:space="0" w:color="auto"/>
        <w:left w:val="none" w:sz="0" w:space="0" w:color="auto"/>
        <w:bottom w:val="none" w:sz="0" w:space="0" w:color="auto"/>
        <w:right w:val="none" w:sz="0" w:space="0" w:color="auto"/>
      </w:divBdr>
    </w:div>
    <w:div w:id="1188183024">
      <w:bodyDiv w:val="1"/>
      <w:marLeft w:val="0"/>
      <w:marRight w:val="0"/>
      <w:marTop w:val="0"/>
      <w:marBottom w:val="0"/>
      <w:divBdr>
        <w:top w:val="none" w:sz="0" w:space="0" w:color="auto"/>
        <w:left w:val="none" w:sz="0" w:space="0" w:color="auto"/>
        <w:bottom w:val="none" w:sz="0" w:space="0" w:color="auto"/>
        <w:right w:val="none" w:sz="0" w:space="0" w:color="auto"/>
      </w:divBdr>
    </w:div>
    <w:div w:id="166208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mrc.gov.au/guidelinesforguidelines/plan/adopt-adapt-or-start-scratch" TargetMode="External"/><Relationship Id="rId18" Type="http://schemas.openxmlformats.org/officeDocument/2006/relationships/hyperlink" Target="https://www.health.gov.au/resources/pregnancy-care-guidelines/part-a-optimising-pregnancy-care/pregnancy-care-for-aboriginal-and-torres-strait-islander-women" TargetMode="External"/><Relationship Id="rId26" Type="http://schemas.openxmlformats.org/officeDocument/2006/relationships/hyperlink" Target="https://app.magicapp.org/" TargetMode="External"/><Relationship Id="rId39" Type="http://schemas.openxmlformats.org/officeDocument/2006/relationships/hyperlink" Target="https://doi.org/10.1002/gch2.201700081" TargetMode="External"/><Relationship Id="rId21" Type="http://schemas.openxmlformats.org/officeDocument/2006/relationships/hyperlink" Target="https://app.magicapp.org/" TargetMode="External"/><Relationship Id="rId34" Type="http://schemas.openxmlformats.org/officeDocument/2006/relationships/hyperlink" Target="https://guidelines.ash.gradepro.org/profile/Z0HQ-0k8FJE" TargetMode="External"/><Relationship Id="rId42" Type="http://schemas.openxmlformats.org/officeDocument/2006/relationships/hyperlink" Target="https://doi.org/10.1186/s12961-021-00731-z" TargetMode="External"/><Relationship Id="rId47" Type="http://schemas.openxmlformats.org/officeDocument/2006/relationships/hyperlink" Target="https://doi.org/10.1186/s12961-019-0468-4" TargetMode="External"/><Relationship Id="rId50" Type="http://schemas.openxmlformats.org/officeDocument/2006/relationships/hyperlink" Target="https://doi.org/10.1136/bmj.l4606"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hmrc.gov.au/about-us/publications/australian-guidelines-reduce-health-risks-drinking-alcohol" TargetMode="External"/><Relationship Id="rId29" Type="http://schemas.openxmlformats.org/officeDocument/2006/relationships/hyperlink" Target="https://app.magicapp.org/" TargetMode="External"/><Relationship Id="rId11" Type="http://schemas.openxmlformats.org/officeDocument/2006/relationships/endnotes" Target="endnotes.xml"/><Relationship Id="rId24" Type="http://schemas.openxmlformats.org/officeDocument/2006/relationships/hyperlink" Target="https://isoq.epistemonikos.org/" TargetMode="External"/><Relationship Id="rId32" Type="http://schemas.openxmlformats.org/officeDocument/2006/relationships/hyperlink" Target="https://app.magicapp.org/" TargetMode="External"/><Relationship Id="rId37" Type="http://schemas.openxmlformats.org/officeDocument/2006/relationships/hyperlink" Target="https://app.magicapp.org/" TargetMode="External"/><Relationship Id="rId40" Type="http://schemas.openxmlformats.org/officeDocument/2006/relationships/hyperlink" Target="https://doi.org/10.1016/j.jclinepi.2024.111494" TargetMode="External"/><Relationship Id="rId45" Type="http://schemas.openxmlformats.org/officeDocument/2006/relationships/hyperlink" Target="https://www.jclinepi.com/article/S0895-4356(23)00175-0/fulltext" TargetMode="External"/><Relationship Id="rId53"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cariguidelines.org/guidelines/management-of-chronic-kidney-disease-among-first-nations/" TargetMode="External"/><Relationship Id="rId31" Type="http://schemas.openxmlformats.org/officeDocument/2006/relationships/hyperlink" Target="https://app.magicapp.org/" TargetMode="External"/><Relationship Id="rId44" Type="http://schemas.openxmlformats.org/officeDocument/2006/relationships/hyperlink" Target="https://doi.org/10.1136/bmjgh-2018-000963" TargetMode="External"/><Relationship Id="rId52" Type="http://schemas.openxmlformats.org/officeDocument/2006/relationships/hyperlink" Target="https://doi.org/10.1186/s13012-017-0689-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gicapp.org/" TargetMode="External"/><Relationship Id="rId22" Type="http://schemas.openxmlformats.org/officeDocument/2006/relationships/hyperlink" Target="https://www.nhmrc.gov.au/guidelinesforguidelines/develop/assessing-certainty-evidence" TargetMode="External"/><Relationship Id="rId27" Type="http://schemas.openxmlformats.org/officeDocument/2006/relationships/hyperlink" Target="https://app.magicapp.org/" TargetMode="External"/><Relationship Id="rId30" Type="http://schemas.openxmlformats.org/officeDocument/2006/relationships/hyperlink" Target="https://immunisationhandbook.health.gov.au/contents/vaccine-preventable-diseases/zoster-herpes-zoster" TargetMode="External"/><Relationship Id="rId35" Type="http://schemas.openxmlformats.org/officeDocument/2006/relationships/hyperlink" Target="https://app.magicapp.org/" TargetMode="External"/><Relationship Id="rId43" Type="http://schemas.openxmlformats.org/officeDocument/2006/relationships/hyperlink" Target="https://www.safetyandquality.gov.au/sites/default/files/2020-08/use_of_antipsychotic_medicines_-_a_literature_review_2020.pdf" TargetMode="External"/><Relationship Id="rId48" Type="http://schemas.openxmlformats.org/officeDocument/2006/relationships/hyperlink" Target="https://doi.org/10.1186/s12961-019-0450-1"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iris.who.int/handle/10665/145714" TargetMode="External"/><Relationship Id="rId3" Type="http://schemas.openxmlformats.org/officeDocument/2006/relationships/customXml" Target="../customXml/item3.xml"/><Relationship Id="rId12" Type="http://schemas.openxmlformats.org/officeDocument/2006/relationships/hyperlink" Target="https://gh.bmj.com/content/4/Suppl_1/e000844" TargetMode="External"/><Relationship Id="rId17" Type="http://schemas.openxmlformats.org/officeDocument/2006/relationships/hyperlink" Target="https://app.magicapp.org/" TargetMode="External"/><Relationship Id="rId25" Type="http://schemas.openxmlformats.org/officeDocument/2006/relationships/hyperlink" Target="https://app.magicapp.org/" TargetMode="External"/><Relationship Id="rId33" Type="http://schemas.openxmlformats.org/officeDocument/2006/relationships/hyperlink" Target="https://guidelines.gradepro.org/search" TargetMode="External"/><Relationship Id="rId38" Type="http://schemas.openxmlformats.org/officeDocument/2006/relationships/hyperlink" Target="https://app.magicapp.org/" TargetMode="External"/><Relationship Id="rId46" Type="http://schemas.openxmlformats.org/officeDocument/2006/relationships/hyperlink" Target="https://doi.org/10.1016/j.jclinepi.2012.04.01" TargetMode="External"/><Relationship Id="rId20" Type="http://schemas.openxmlformats.org/officeDocument/2006/relationships/hyperlink" Target="https://www.nhmrc.gov.au/guidelinesforguidelines/develop/assessing-certainty-evidence" TargetMode="External"/><Relationship Id="rId41" Type="http://schemas.openxmlformats.org/officeDocument/2006/relationships/hyperlink" Target="https://iris.who.int/handle/10665/372275"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gradepro.org/" TargetMode="External"/><Relationship Id="rId23" Type="http://schemas.openxmlformats.org/officeDocument/2006/relationships/hyperlink" Target="https://app.magicapp.org/" TargetMode="External"/><Relationship Id="rId28" Type="http://schemas.openxmlformats.org/officeDocument/2006/relationships/hyperlink" Target="https://app.magicapp.org/" TargetMode="External"/><Relationship Id="rId36" Type="http://schemas.openxmlformats.org/officeDocument/2006/relationships/hyperlink" Target="https://app.magicapp.org/" TargetMode="External"/><Relationship Id="rId49" Type="http://schemas.openxmlformats.org/officeDocument/2006/relationships/hyperlink" Target="https://doi.org/10.1016/j.jclinepi.2021.06.01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f8499da-f70f-48c9-a6de-e578977a26c0">RESTRANS-1060163545-43438</_dlc_DocId>
    <_dlc_DocIdUrl xmlns="ef8499da-f70f-48c9-a6de-e578977a26c0">
      <Url>https://nhmrc.sharepoint.com/sites/restrans/_layouts/15/DocIdRedir.aspx?ID=RESTRANS-1060163545-43438</Url>
      <Description>RESTRANS-1060163545-43438</Description>
    </_dlc_DocIdUrl>
    <TaxCatchAll xmlns="ef8499da-f70f-48c9-a6de-e578977a26c0" xsi:nil="true"/>
    <lcf76f155ced4ddcb4097134ff3c332f xmlns="0b6c2fbd-2c34-4a20-b336-10a6cebb0f5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253777432FCC54385890EE35368F300" ma:contentTypeVersion="17" ma:contentTypeDescription="Create a new document." ma:contentTypeScope="" ma:versionID="c502653090eae2fabe03ca228f981716">
  <xsd:schema xmlns:xsd="http://www.w3.org/2001/XMLSchema" xmlns:xs="http://www.w3.org/2001/XMLSchema" xmlns:p="http://schemas.microsoft.com/office/2006/metadata/properties" xmlns:ns2="ef8499da-f70f-48c9-a6de-e578977a26c0" xmlns:ns3="0b6c2fbd-2c34-4a20-b336-10a6cebb0f58" targetNamespace="http://schemas.microsoft.com/office/2006/metadata/properties" ma:root="true" ma:fieldsID="a1c503de1f104f3d199b9a55821d47c0" ns2:_="" ns3:_="">
    <xsd:import namespace="ef8499da-f70f-48c9-a6de-e578977a26c0"/>
    <xsd:import namespace="0b6c2fbd-2c34-4a20-b336-10a6cebb0f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dc90cd-4b5d-4287-ade8-c7001a6f2aff}"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6c2fbd-2c34-4a20-b336-10a6cebb0f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8D118-9414-490C-98C4-66F7A9A910D2}">
  <ds:schemaRefs>
    <ds:schemaRef ds:uri="http://schemas.microsoft.com/sharepoint/events"/>
  </ds:schemaRefs>
</ds:datastoreItem>
</file>

<file path=customXml/itemProps2.xml><?xml version="1.0" encoding="utf-8"?>
<ds:datastoreItem xmlns:ds="http://schemas.openxmlformats.org/officeDocument/2006/customXml" ds:itemID="{3BAB784D-B1EA-4D73-AB17-C9D417F3A3F5}">
  <ds:schemaRefs>
    <ds:schemaRef ds:uri="http://schemas.microsoft.com/office/2006/metadata/properties"/>
    <ds:schemaRef ds:uri="http://schemas.microsoft.com/office/infopath/2007/PartnerControls"/>
    <ds:schemaRef ds:uri="ef8499da-f70f-48c9-a6de-e578977a26c0"/>
    <ds:schemaRef ds:uri="0b6c2fbd-2c34-4a20-b336-10a6cebb0f58"/>
  </ds:schemaRefs>
</ds:datastoreItem>
</file>

<file path=customXml/itemProps3.xml><?xml version="1.0" encoding="utf-8"?>
<ds:datastoreItem xmlns:ds="http://schemas.openxmlformats.org/officeDocument/2006/customXml" ds:itemID="{3AA05EAE-8727-40AA-BA1C-63FA74551EC2}">
  <ds:schemaRefs>
    <ds:schemaRef ds:uri="http://schemas.microsoft.com/sharepoint/v3/contenttype/forms"/>
  </ds:schemaRefs>
</ds:datastoreItem>
</file>

<file path=customXml/itemProps4.xml><?xml version="1.0" encoding="utf-8"?>
<ds:datastoreItem xmlns:ds="http://schemas.openxmlformats.org/officeDocument/2006/customXml" ds:itemID="{573EE7CE-B97E-4D64-9EF9-114C893CA441}">
  <ds:schemaRefs>
    <ds:schemaRef ds:uri="http://schemas.openxmlformats.org/officeDocument/2006/bibliography"/>
  </ds:schemaRefs>
</ds:datastoreItem>
</file>

<file path=customXml/itemProps5.xml><?xml version="1.0" encoding="utf-8"?>
<ds:datastoreItem xmlns:ds="http://schemas.openxmlformats.org/officeDocument/2006/customXml" ds:itemID="{FD0629EE-6D76-4E83-9F03-6D99C72BC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499da-f70f-48c9-a6de-e578977a26c0"/>
    <ds:schemaRef ds:uri="0b6c2fbd-2c34-4a20-b336-10a6cebb0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10215</Words>
  <Characters>60782</Characters>
  <Application>Microsoft Office Word</Application>
  <DocSecurity>0</DocSecurity>
  <Lines>1599</Lines>
  <Paragraphs>438</Paragraphs>
  <ScaleCrop>false</ScaleCrop>
  <HeadingPairs>
    <vt:vector size="2" baseType="variant">
      <vt:variant>
        <vt:lpstr>Title</vt:lpstr>
      </vt:variant>
      <vt:variant>
        <vt:i4>1</vt:i4>
      </vt:variant>
    </vt:vector>
  </HeadingPairs>
  <TitlesOfParts>
    <vt:vector size="1" baseType="lpstr">
      <vt:lpstr/>
    </vt:vector>
  </TitlesOfParts>
  <Company>NHMRC</Company>
  <LinksUpToDate>false</LinksUpToDate>
  <CharactersWithSpaces>70559</CharactersWithSpaces>
  <SharedDoc>false</SharedDoc>
  <HLinks>
    <vt:vector size="300" baseType="variant">
      <vt:variant>
        <vt:i4>655378</vt:i4>
      </vt:variant>
      <vt:variant>
        <vt:i4>177</vt:i4>
      </vt:variant>
      <vt:variant>
        <vt:i4>0</vt:i4>
      </vt:variant>
      <vt:variant>
        <vt:i4>5</vt:i4>
      </vt:variant>
      <vt:variant>
        <vt:lpwstr>https://doi.org/10.1186/s13012-017-0689-2</vt:lpwstr>
      </vt:variant>
      <vt:variant>
        <vt:lpwstr/>
      </vt:variant>
      <vt:variant>
        <vt:i4>5111822</vt:i4>
      </vt:variant>
      <vt:variant>
        <vt:i4>174</vt:i4>
      </vt:variant>
      <vt:variant>
        <vt:i4>0</vt:i4>
      </vt:variant>
      <vt:variant>
        <vt:i4>5</vt:i4>
      </vt:variant>
      <vt:variant>
        <vt:lpwstr>https://iris.who.int/handle/10665/145714</vt:lpwstr>
      </vt:variant>
      <vt:variant>
        <vt:lpwstr/>
      </vt:variant>
      <vt:variant>
        <vt:i4>5701647</vt:i4>
      </vt:variant>
      <vt:variant>
        <vt:i4>171</vt:i4>
      </vt:variant>
      <vt:variant>
        <vt:i4>0</vt:i4>
      </vt:variant>
      <vt:variant>
        <vt:i4>5</vt:i4>
      </vt:variant>
      <vt:variant>
        <vt:lpwstr>https://doi.org/10.1136/bmj.l4606</vt:lpwstr>
      </vt:variant>
      <vt:variant>
        <vt:lpwstr/>
      </vt:variant>
      <vt:variant>
        <vt:i4>2162734</vt:i4>
      </vt:variant>
      <vt:variant>
        <vt:i4>168</vt:i4>
      </vt:variant>
      <vt:variant>
        <vt:i4>0</vt:i4>
      </vt:variant>
      <vt:variant>
        <vt:i4>5</vt:i4>
      </vt:variant>
      <vt:variant>
        <vt:lpwstr>https://doi.org/10.1016/j.jclinepi.2021.06.013</vt:lpwstr>
      </vt:variant>
      <vt:variant>
        <vt:lpwstr/>
      </vt:variant>
      <vt:variant>
        <vt:i4>196639</vt:i4>
      </vt:variant>
      <vt:variant>
        <vt:i4>165</vt:i4>
      </vt:variant>
      <vt:variant>
        <vt:i4>0</vt:i4>
      </vt:variant>
      <vt:variant>
        <vt:i4>5</vt:i4>
      </vt:variant>
      <vt:variant>
        <vt:lpwstr>https://doi.org/10.1186/s12961-019-0450-1</vt:lpwstr>
      </vt:variant>
      <vt:variant>
        <vt:lpwstr/>
      </vt:variant>
      <vt:variant>
        <vt:i4>23</vt:i4>
      </vt:variant>
      <vt:variant>
        <vt:i4>162</vt:i4>
      </vt:variant>
      <vt:variant>
        <vt:i4>0</vt:i4>
      </vt:variant>
      <vt:variant>
        <vt:i4>5</vt:i4>
      </vt:variant>
      <vt:variant>
        <vt:lpwstr>https://doi.org/10.1186/s12961-019-0468-4</vt:lpwstr>
      </vt:variant>
      <vt:variant>
        <vt:lpwstr/>
      </vt:variant>
      <vt:variant>
        <vt:i4>1245212</vt:i4>
      </vt:variant>
      <vt:variant>
        <vt:i4>159</vt:i4>
      </vt:variant>
      <vt:variant>
        <vt:i4>0</vt:i4>
      </vt:variant>
      <vt:variant>
        <vt:i4>5</vt:i4>
      </vt:variant>
      <vt:variant>
        <vt:lpwstr>https://doi.org/10.1016/j.jclinepi.2012.04.01</vt:lpwstr>
      </vt:variant>
      <vt:variant>
        <vt:lpwstr/>
      </vt:variant>
      <vt:variant>
        <vt:i4>3473453</vt:i4>
      </vt:variant>
      <vt:variant>
        <vt:i4>156</vt:i4>
      </vt:variant>
      <vt:variant>
        <vt:i4>0</vt:i4>
      </vt:variant>
      <vt:variant>
        <vt:i4>5</vt:i4>
      </vt:variant>
      <vt:variant>
        <vt:lpwstr>https://www.jclinepi.com/article/S0895-4356(23)00175-0/fulltext</vt:lpwstr>
      </vt:variant>
      <vt:variant>
        <vt:lpwstr/>
      </vt:variant>
      <vt:variant>
        <vt:i4>589850</vt:i4>
      </vt:variant>
      <vt:variant>
        <vt:i4>153</vt:i4>
      </vt:variant>
      <vt:variant>
        <vt:i4>0</vt:i4>
      </vt:variant>
      <vt:variant>
        <vt:i4>5</vt:i4>
      </vt:variant>
      <vt:variant>
        <vt:lpwstr>https://doi.org/10.1136/bmjgh-2018-000963</vt:lpwstr>
      </vt:variant>
      <vt:variant>
        <vt:lpwstr/>
      </vt:variant>
      <vt:variant>
        <vt:i4>4980810</vt:i4>
      </vt:variant>
      <vt:variant>
        <vt:i4>150</vt:i4>
      </vt:variant>
      <vt:variant>
        <vt:i4>0</vt:i4>
      </vt:variant>
      <vt:variant>
        <vt:i4>5</vt:i4>
      </vt:variant>
      <vt:variant>
        <vt:lpwstr>https://www.safetyandquality.gov.au/sites/default/files/2020-08/use_of_antipsychotic_medicines_-_a_literature_review_2020.pdf</vt:lpwstr>
      </vt:variant>
      <vt:variant>
        <vt:lpwstr/>
      </vt:variant>
      <vt:variant>
        <vt:i4>7274550</vt:i4>
      </vt:variant>
      <vt:variant>
        <vt:i4>147</vt:i4>
      </vt:variant>
      <vt:variant>
        <vt:i4>0</vt:i4>
      </vt:variant>
      <vt:variant>
        <vt:i4>5</vt:i4>
      </vt:variant>
      <vt:variant>
        <vt:lpwstr>https://doi.org/10.1186/s12961-021-00731-z</vt:lpwstr>
      </vt:variant>
      <vt:variant>
        <vt:lpwstr/>
      </vt:variant>
      <vt:variant>
        <vt:i4>4784141</vt:i4>
      </vt:variant>
      <vt:variant>
        <vt:i4>144</vt:i4>
      </vt:variant>
      <vt:variant>
        <vt:i4>0</vt:i4>
      </vt:variant>
      <vt:variant>
        <vt:i4>5</vt:i4>
      </vt:variant>
      <vt:variant>
        <vt:lpwstr>https://iris.who.int/handle/10665/372275</vt:lpwstr>
      </vt:variant>
      <vt:variant>
        <vt:lpwstr/>
      </vt:variant>
      <vt:variant>
        <vt:i4>2424893</vt:i4>
      </vt:variant>
      <vt:variant>
        <vt:i4>141</vt:i4>
      </vt:variant>
      <vt:variant>
        <vt:i4>0</vt:i4>
      </vt:variant>
      <vt:variant>
        <vt:i4>5</vt:i4>
      </vt:variant>
      <vt:variant>
        <vt:lpwstr>https://doi.org/10.1016/j.jclinepi.2024.111494</vt:lpwstr>
      </vt:variant>
      <vt:variant>
        <vt:lpwstr/>
      </vt:variant>
      <vt:variant>
        <vt:i4>7340150</vt:i4>
      </vt:variant>
      <vt:variant>
        <vt:i4>138</vt:i4>
      </vt:variant>
      <vt:variant>
        <vt:i4>0</vt:i4>
      </vt:variant>
      <vt:variant>
        <vt:i4>5</vt:i4>
      </vt:variant>
      <vt:variant>
        <vt:lpwstr>https://doi.org/10.1002/gch2.201700081</vt:lpwstr>
      </vt:variant>
      <vt:variant>
        <vt:lpwstr/>
      </vt:variant>
      <vt:variant>
        <vt:i4>5242957</vt:i4>
      </vt:variant>
      <vt:variant>
        <vt:i4>135</vt:i4>
      </vt:variant>
      <vt:variant>
        <vt:i4>0</vt:i4>
      </vt:variant>
      <vt:variant>
        <vt:i4>5</vt:i4>
      </vt:variant>
      <vt:variant>
        <vt:lpwstr>https://app.magicapp.org/</vt:lpwstr>
      </vt:variant>
      <vt:variant>
        <vt:lpwstr>/guideline/Jn37kn/section/n3kXon</vt:lpwstr>
      </vt:variant>
      <vt:variant>
        <vt:i4>1966081</vt:i4>
      </vt:variant>
      <vt:variant>
        <vt:i4>132</vt:i4>
      </vt:variant>
      <vt:variant>
        <vt:i4>0</vt:i4>
      </vt:variant>
      <vt:variant>
        <vt:i4>5</vt:i4>
      </vt:variant>
      <vt:variant>
        <vt:lpwstr>https://app.magicapp.org/</vt:lpwstr>
      </vt:variant>
      <vt:variant>
        <vt:lpwstr>/guideline/L4Q5An/section/jOp8dr</vt:lpwstr>
      </vt:variant>
      <vt:variant>
        <vt:i4>131141</vt:i4>
      </vt:variant>
      <vt:variant>
        <vt:i4>129</vt:i4>
      </vt:variant>
      <vt:variant>
        <vt:i4>0</vt:i4>
      </vt:variant>
      <vt:variant>
        <vt:i4>5</vt:i4>
      </vt:variant>
      <vt:variant>
        <vt:lpwstr>https://app.magicapp.org/</vt:lpwstr>
      </vt:variant>
      <vt:variant>
        <vt:lpwstr>/guideline/j98OoE/section/L6m7Gy</vt:lpwstr>
      </vt:variant>
      <vt:variant>
        <vt:i4>1441864</vt:i4>
      </vt:variant>
      <vt:variant>
        <vt:i4>126</vt:i4>
      </vt:variant>
      <vt:variant>
        <vt:i4>0</vt:i4>
      </vt:variant>
      <vt:variant>
        <vt:i4>5</vt:i4>
      </vt:variant>
      <vt:variant>
        <vt:lpwstr>https://app.magicapp.org/</vt:lpwstr>
      </vt:variant>
      <vt:variant>
        <vt:lpwstr>/guideline/jMMeqj/section/jz43dn</vt:lpwstr>
      </vt:variant>
      <vt:variant>
        <vt:i4>7209076</vt:i4>
      </vt:variant>
      <vt:variant>
        <vt:i4>123</vt:i4>
      </vt:variant>
      <vt:variant>
        <vt:i4>0</vt:i4>
      </vt:variant>
      <vt:variant>
        <vt:i4>5</vt:i4>
      </vt:variant>
      <vt:variant>
        <vt:lpwstr>https://guidelines.ash.gradepro.org/profile/Z0HQ-0k8FJE</vt:lpwstr>
      </vt:variant>
      <vt:variant>
        <vt:lpwstr/>
      </vt:variant>
      <vt:variant>
        <vt:i4>7078009</vt:i4>
      </vt:variant>
      <vt:variant>
        <vt:i4>120</vt:i4>
      </vt:variant>
      <vt:variant>
        <vt:i4>0</vt:i4>
      </vt:variant>
      <vt:variant>
        <vt:i4>5</vt:i4>
      </vt:variant>
      <vt:variant>
        <vt:lpwstr>https://guidelines.gradepro.org/search</vt:lpwstr>
      </vt:variant>
      <vt:variant>
        <vt:lpwstr/>
      </vt:variant>
      <vt:variant>
        <vt:i4>1703947</vt:i4>
      </vt:variant>
      <vt:variant>
        <vt:i4>117</vt:i4>
      </vt:variant>
      <vt:variant>
        <vt:i4>0</vt:i4>
      </vt:variant>
      <vt:variant>
        <vt:i4>5</vt:i4>
      </vt:variant>
      <vt:variant>
        <vt:lpwstr>https://app.magicapp.org/</vt:lpwstr>
      </vt:variant>
      <vt:variant>
        <vt:lpwstr>/guideline/EQ3k5L/section/L48k9a</vt:lpwstr>
      </vt:variant>
      <vt:variant>
        <vt:i4>1507415</vt:i4>
      </vt:variant>
      <vt:variant>
        <vt:i4>114</vt:i4>
      </vt:variant>
      <vt:variant>
        <vt:i4>0</vt:i4>
      </vt:variant>
      <vt:variant>
        <vt:i4>5</vt:i4>
      </vt:variant>
      <vt:variant>
        <vt:lpwstr>https://app.magicapp.org/</vt:lpwstr>
      </vt:variant>
      <vt:variant>
        <vt:lpwstr>/guideline/Jn37kn/section/EeOkzL</vt:lpwstr>
      </vt:variant>
      <vt:variant>
        <vt:i4>2031705</vt:i4>
      </vt:variant>
      <vt:variant>
        <vt:i4>111</vt:i4>
      </vt:variant>
      <vt:variant>
        <vt:i4>0</vt:i4>
      </vt:variant>
      <vt:variant>
        <vt:i4>5</vt:i4>
      </vt:variant>
      <vt:variant>
        <vt:lpwstr>https://immunisationhandbook.health.gov.au/contents/vaccine-preventable-diseases/zoster-herpes-zoster</vt:lpwstr>
      </vt:variant>
      <vt:variant>
        <vt:lpwstr/>
      </vt:variant>
      <vt:variant>
        <vt:i4>131087</vt:i4>
      </vt:variant>
      <vt:variant>
        <vt:i4>108</vt:i4>
      </vt:variant>
      <vt:variant>
        <vt:i4>0</vt:i4>
      </vt:variant>
      <vt:variant>
        <vt:i4>5</vt:i4>
      </vt:variant>
      <vt:variant>
        <vt:lpwstr>https://app.magicapp.org/</vt:lpwstr>
      </vt:variant>
      <vt:variant>
        <vt:lpwstr>/guideline/E52Obj/section/Lw3kpL</vt:lpwstr>
      </vt:variant>
      <vt:variant>
        <vt:i4>5374044</vt:i4>
      </vt:variant>
      <vt:variant>
        <vt:i4>105</vt:i4>
      </vt:variant>
      <vt:variant>
        <vt:i4>0</vt:i4>
      </vt:variant>
      <vt:variant>
        <vt:i4>5</vt:i4>
      </vt:variant>
      <vt:variant>
        <vt:lpwstr>https://app.magicapp.org/</vt:lpwstr>
      </vt:variant>
      <vt:variant>
        <vt:lpwstr>/guideline/jMMeqj/section/j721vE</vt:lpwstr>
      </vt:variant>
      <vt:variant>
        <vt:i4>4521994</vt:i4>
      </vt:variant>
      <vt:variant>
        <vt:i4>102</vt:i4>
      </vt:variant>
      <vt:variant>
        <vt:i4>0</vt:i4>
      </vt:variant>
      <vt:variant>
        <vt:i4>5</vt:i4>
      </vt:variant>
      <vt:variant>
        <vt:lpwstr>https://app.magicapp.org/</vt:lpwstr>
      </vt:variant>
      <vt:variant>
        <vt:lpwstr>/guideline/LqRV3n/section/Lrp8OE</vt:lpwstr>
      </vt:variant>
      <vt:variant>
        <vt:i4>4587607</vt:i4>
      </vt:variant>
      <vt:variant>
        <vt:i4>99</vt:i4>
      </vt:variant>
      <vt:variant>
        <vt:i4>0</vt:i4>
      </vt:variant>
      <vt:variant>
        <vt:i4>5</vt:i4>
      </vt:variant>
      <vt:variant>
        <vt:lpwstr>https://app.magicapp.org/</vt:lpwstr>
      </vt:variant>
      <vt:variant>
        <vt:lpwstr>/guideline/j98OoE/section/nYv5lP</vt:lpwstr>
      </vt:variant>
      <vt:variant>
        <vt:i4>1835098</vt:i4>
      </vt:variant>
      <vt:variant>
        <vt:i4>96</vt:i4>
      </vt:variant>
      <vt:variant>
        <vt:i4>0</vt:i4>
      </vt:variant>
      <vt:variant>
        <vt:i4>5</vt:i4>
      </vt:variant>
      <vt:variant>
        <vt:lpwstr>https://app.magicapp.org/</vt:lpwstr>
      </vt:variant>
      <vt:variant>
        <vt:lpwstr>/guideline/ojmKvn/section/Lpq18n</vt:lpwstr>
      </vt:variant>
      <vt:variant>
        <vt:i4>7864379</vt:i4>
      </vt:variant>
      <vt:variant>
        <vt:i4>93</vt:i4>
      </vt:variant>
      <vt:variant>
        <vt:i4>0</vt:i4>
      </vt:variant>
      <vt:variant>
        <vt:i4>5</vt:i4>
      </vt:variant>
      <vt:variant>
        <vt:lpwstr>https://isoq.epistemonikos.org/</vt:lpwstr>
      </vt:variant>
      <vt:variant>
        <vt:lpwstr/>
      </vt:variant>
      <vt:variant>
        <vt:i4>10</vt:i4>
      </vt:variant>
      <vt:variant>
        <vt:i4>90</vt:i4>
      </vt:variant>
      <vt:variant>
        <vt:i4>0</vt:i4>
      </vt:variant>
      <vt:variant>
        <vt:i4>5</vt:i4>
      </vt:variant>
      <vt:variant>
        <vt:lpwstr>https://app.magicapp.org/</vt:lpwstr>
      </vt:variant>
      <vt:variant>
        <vt:lpwstr>/guideline/jMMeqj/section/j1JlXL</vt:lpwstr>
      </vt:variant>
      <vt:variant>
        <vt:i4>5701635</vt:i4>
      </vt:variant>
      <vt:variant>
        <vt:i4>87</vt:i4>
      </vt:variant>
      <vt:variant>
        <vt:i4>0</vt:i4>
      </vt:variant>
      <vt:variant>
        <vt:i4>5</vt:i4>
      </vt:variant>
      <vt:variant>
        <vt:lpwstr>https://www.nhmrc.gov.au/guidelinesforguidelines/develop/assessing-certainty-evidence</vt:lpwstr>
      </vt:variant>
      <vt:variant>
        <vt:lpwstr/>
      </vt:variant>
      <vt:variant>
        <vt:i4>4521994</vt:i4>
      </vt:variant>
      <vt:variant>
        <vt:i4>84</vt:i4>
      </vt:variant>
      <vt:variant>
        <vt:i4>0</vt:i4>
      </vt:variant>
      <vt:variant>
        <vt:i4>5</vt:i4>
      </vt:variant>
      <vt:variant>
        <vt:lpwstr>https://app.magicapp.org/</vt:lpwstr>
      </vt:variant>
      <vt:variant>
        <vt:lpwstr>/guideline/LqRV3n/section/Lrp8OE</vt:lpwstr>
      </vt:variant>
      <vt:variant>
        <vt:i4>5701635</vt:i4>
      </vt:variant>
      <vt:variant>
        <vt:i4>81</vt:i4>
      </vt:variant>
      <vt:variant>
        <vt:i4>0</vt:i4>
      </vt:variant>
      <vt:variant>
        <vt:i4>5</vt:i4>
      </vt:variant>
      <vt:variant>
        <vt:lpwstr>https://www.nhmrc.gov.au/guidelinesforguidelines/develop/assessing-certainty-evidence</vt:lpwstr>
      </vt:variant>
      <vt:variant>
        <vt:lpwstr/>
      </vt:variant>
      <vt:variant>
        <vt:i4>7798911</vt:i4>
      </vt:variant>
      <vt:variant>
        <vt:i4>78</vt:i4>
      </vt:variant>
      <vt:variant>
        <vt:i4>0</vt:i4>
      </vt:variant>
      <vt:variant>
        <vt:i4>5</vt:i4>
      </vt:variant>
      <vt:variant>
        <vt:lpwstr>https://www.cariguidelines.org/guidelines/management-of-chronic-kidney-disease-among-first-nations/</vt:lpwstr>
      </vt:variant>
      <vt:variant>
        <vt:lpwstr/>
      </vt:variant>
      <vt:variant>
        <vt:i4>5898307</vt:i4>
      </vt:variant>
      <vt:variant>
        <vt:i4>75</vt:i4>
      </vt:variant>
      <vt:variant>
        <vt:i4>0</vt:i4>
      </vt:variant>
      <vt:variant>
        <vt:i4>5</vt:i4>
      </vt:variant>
      <vt:variant>
        <vt:lpwstr>https://www.health.gov.au/resources/pregnancy-care-guidelines/part-a-optimising-pregnancy-care/pregnancy-care-for-aboriginal-and-torres-strait-islander-women</vt:lpwstr>
      </vt:variant>
      <vt:variant>
        <vt:lpwstr/>
      </vt:variant>
      <vt:variant>
        <vt:i4>4521994</vt:i4>
      </vt:variant>
      <vt:variant>
        <vt:i4>72</vt:i4>
      </vt:variant>
      <vt:variant>
        <vt:i4>0</vt:i4>
      </vt:variant>
      <vt:variant>
        <vt:i4>5</vt:i4>
      </vt:variant>
      <vt:variant>
        <vt:lpwstr>https://app.magicapp.org/</vt:lpwstr>
      </vt:variant>
      <vt:variant>
        <vt:lpwstr>/guideline/LqRV3n/section/Lrp8OE</vt:lpwstr>
      </vt:variant>
      <vt:variant>
        <vt:i4>5767259</vt:i4>
      </vt:variant>
      <vt:variant>
        <vt:i4>69</vt:i4>
      </vt:variant>
      <vt:variant>
        <vt:i4>0</vt:i4>
      </vt:variant>
      <vt:variant>
        <vt:i4>5</vt:i4>
      </vt:variant>
      <vt:variant>
        <vt:lpwstr>https://www.nhmrc.gov.au/about-us/publications/australian-guidelines-reduce-health-risks-drinking-alcohol</vt:lpwstr>
      </vt:variant>
      <vt:variant>
        <vt:lpwstr/>
      </vt:variant>
      <vt:variant>
        <vt:i4>1048589</vt:i4>
      </vt:variant>
      <vt:variant>
        <vt:i4>66</vt:i4>
      </vt:variant>
      <vt:variant>
        <vt:i4>0</vt:i4>
      </vt:variant>
      <vt:variant>
        <vt:i4>5</vt:i4>
      </vt:variant>
      <vt:variant>
        <vt:lpwstr>https://gradepro.org/</vt:lpwstr>
      </vt:variant>
      <vt:variant>
        <vt:lpwstr/>
      </vt:variant>
      <vt:variant>
        <vt:i4>5832709</vt:i4>
      </vt:variant>
      <vt:variant>
        <vt:i4>63</vt:i4>
      </vt:variant>
      <vt:variant>
        <vt:i4>0</vt:i4>
      </vt:variant>
      <vt:variant>
        <vt:i4>5</vt:i4>
      </vt:variant>
      <vt:variant>
        <vt:lpwstr>https://www.magicapp.org/</vt:lpwstr>
      </vt:variant>
      <vt:variant>
        <vt:lpwstr/>
      </vt:variant>
      <vt:variant>
        <vt:i4>7077948</vt:i4>
      </vt:variant>
      <vt:variant>
        <vt:i4>60</vt:i4>
      </vt:variant>
      <vt:variant>
        <vt:i4>0</vt:i4>
      </vt:variant>
      <vt:variant>
        <vt:i4>5</vt:i4>
      </vt:variant>
      <vt:variant>
        <vt:lpwstr>https://www.nhmrc.gov.au/guidelinesforguidelines/plan/adopt-adapt-or-start-scratch</vt:lpwstr>
      </vt:variant>
      <vt:variant>
        <vt:lpwstr/>
      </vt:variant>
      <vt:variant>
        <vt:i4>5242942</vt:i4>
      </vt:variant>
      <vt:variant>
        <vt:i4>57</vt:i4>
      </vt:variant>
      <vt:variant>
        <vt:i4>0</vt:i4>
      </vt:variant>
      <vt:variant>
        <vt:i4>5</vt:i4>
      </vt:variant>
      <vt:variant>
        <vt:lpwstr>https://gh.bmj.com/content/4/Suppl_1/e000844</vt:lpwstr>
      </vt:variant>
      <vt:variant>
        <vt:lpwstr/>
      </vt:variant>
      <vt:variant>
        <vt:i4>1703993</vt:i4>
      </vt:variant>
      <vt:variant>
        <vt:i4>50</vt:i4>
      </vt:variant>
      <vt:variant>
        <vt:i4>0</vt:i4>
      </vt:variant>
      <vt:variant>
        <vt:i4>5</vt:i4>
      </vt:variant>
      <vt:variant>
        <vt:lpwstr/>
      </vt:variant>
      <vt:variant>
        <vt:lpwstr>_Toc184284430</vt:lpwstr>
      </vt:variant>
      <vt:variant>
        <vt:i4>1769529</vt:i4>
      </vt:variant>
      <vt:variant>
        <vt:i4>44</vt:i4>
      </vt:variant>
      <vt:variant>
        <vt:i4>0</vt:i4>
      </vt:variant>
      <vt:variant>
        <vt:i4>5</vt:i4>
      </vt:variant>
      <vt:variant>
        <vt:lpwstr/>
      </vt:variant>
      <vt:variant>
        <vt:lpwstr>_Toc184284429</vt:lpwstr>
      </vt:variant>
      <vt:variant>
        <vt:i4>1769529</vt:i4>
      </vt:variant>
      <vt:variant>
        <vt:i4>38</vt:i4>
      </vt:variant>
      <vt:variant>
        <vt:i4>0</vt:i4>
      </vt:variant>
      <vt:variant>
        <vt:i4>5</vt:i4>
      </vt:variant>
      <vt:variant>
        <vt:lpwstr/>
      </vt:variant>
      <vt:variant>
        <vt:lpwstr>_Toc184284428</vt:lpwstr>
      </vt:variant>
      <vt:variant>
        <vt:i4>1769529</vt:i4>
      </vt:variant>
      <vt:variant>
        <vt:i4>32</vt:i4>
      </vt:variant>
      <vt:variant>
        <vt:i4>0</vt:i4>
      </vt:variant>
      <vt:variant>
        <vt:i4>5</vt:i4>
      </vt:variant>
      <vt:variant>
        <vt:lpwstr/>
      </vt:variant>
      <vt:variant>
        <vt:lpwstr>_Toc184284427</vt:lpwstr>
      </vt:variant>
      <vt:variant>
        <vt:i4>1769529</vt:i4>
      </vt:variant>
      <vt:variant>
        <vt:i4>26</vt:i4>
      </vt:variant>
      <vt:variant>
        <vt:i4>0</vt:i4>
      </vt:variant>
      <vt:variant>
        <vt:i4>5</vt:i4>
      </vt:variant>
      <vt:variant>
        <vt:lpwstr/>
      </vt:variant>
      <vt:variant>
        <vt:lpwstr>_Toc184284426</vt:lpwstr>
      </vt:variant>
      <vt:variant>
        <vt:i4>1769529</vt:i4>
      </vt:variant>
      <vt:variant>
        <vt:i4>20</vt:i4>
      </vt:variant>
      <vt:variant>
        <vt:i4>0</vt:i4>
      </vt:variant>
      <vt:variant>
        <vt:i4>5</vt:i4>
      </vt:variant>
      <vt:variant>
        <vt:lpwstr/>
      </vt:variant>
      <vt:variant>
        <vt:lpwstr>_Toc184284425</vt:lpwstr>
      </vt:variant>
      <vt:variant>
        <vt:i4>1769529</vt:i4>
      </vt:variant>
      <vt:variant>
        <vt:i4>14</vt:i4>
      </vt:variant>
      <vt:variant>
        <vt:i4>0</vt:i4>
      </vt:variant>
      <vt:variant>
        <vt:i4>5</vt:i4>
      </vt:variant>
      <vt:variant>
        <vt:lpwstr/>
      </vt:variant>
      <vt:variant>
        <vt:lpwstr>_Toc184284424</vt:lpwstr>
      </vt:variant>
      <vt:variant>
        <vt:i4>1769529</vt:i4>
      </vt:variant>
      <vt:variant>
        <vt:i4>8</vt:i4>
      </vt:variant>
      <vt:variant>
        <vt:i4>0</vt:i4>
      </vt:variant>
      <vt:variant>
        <vt:i4>5</vt:i4>
      </vt:variant>
      <vt:variant>
        <vt:lpwstr/>
      </vt:variant>
      <vt:variant>
        <vt:lpwstr>_Toc184284423</vt:lpwstr>
      </vt:variant>
      <vt:variant>
        <vt:i4>1769529</vt:i4>
      </vt:variant>
      <vt:variant>
        <vt:i4>2</vt:i4>
      </vt:variant>
      <vt:variant>
        <vt:i4>0</vt:i4>
      </vt:variant>
      <vt:variant>
        <vt:i4>5</vt:i4>
      </vt:variant>
      <vt:variant>
        <vt:lpwstr/>
      </vt:variant>
      <vt:variant>
        <vt:lpwstr>_Toc184284422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Duggan</dc:creator>
  <cp:keywords/>
  <cp:lastModifiedBy>Stephanie Goodrick</cp:lastModifiedBy>
  <cp:revision>3</cp:revision>
  <cp:lastPrinted>2018-08-09T00:58:00Z</cp:lastPrinted>
  <dcterms:created xsi:type="dcterms:W3CDTF">2024-12-06T05:11:00Z</dcterms:created>
  <dcterms:modified xsi:type="dcterms:W3CDTF">2024-12-06T05:13:00Z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010021{"F":2,"I":"753A-B1E9-E275-84F9"}</vt:lpwstr>
  </property>
  <property fmtid="{D5CDD505-2E9C-101B-9397-08002B2CF9AE}" pid="3" name="ContentTypeId">
    <vt:lpwstr>0x010100F253777432FCC54385890EE35368F300</vt:lpwstr>
  </property>
  <property fmtid="{D5CDD505-2E9C-101B-9397-08002B2CF9AE}" pid="4" name="Order">
    <vt:r8>1151000</vt:r8>
  </property>
  <property fmtid="{D5CDD505-2E9C-101B-9397-08002B2CF9AE}" pid="5" name="_dlc_DocIdItemGuid">
    <vt:lpwstr>13dfe98f-4b3e-4703-be17-b32d538500b8</vt:lpwstr>
  </property>
  <property fmtid="{D5CDD505-2E9C-101B-9397-08002B2CF9AE}" pid="6" name="MediaServiceImageTags">
    <vt:lpwstr/>
  </property>
  <property fmtid="{D5CDD505-2E9C-101B-9397-08002B2CF9AE}" pid="7" name="MSIP_Label_9a5e7792-7543-4db2-bcc9-9caeff0b8eb1_Enabled">
    <vt:lpwstr>true</vt:lpwstr>
  </property>
  <property fmtid="{D5CDD505-2E9C-101B-9397-08002B2CF9AE}" pid="8" name="MSIP_Label_9a5e7792-7543-4db2-bcc9-9caeff0b8eb1_SetDate">
    <vt:lpwstr>2024-12-01T22:47:47Z</vt:lpwstr>
  </property>
  <property fmtid="{D5CDD505-2E9C-101B-9397-08002B2CF9AE}" pid="9" name="MSIP_Label_9a5e7792-7543-4db2-bcc9-9caeff0b8eb1_Method">
    <vt:lpwstr>Standard</vt:lpwstr>
  </property>
  <property fmtid="{D5CDD505-2E9C-101B-9397-08002B2CF9AE}" pid="10" name="MSIP_Label_9a5e7792-7543-4db2-bcc9-9caeff0b8eb1_Name">
    <vt:lpwstr>OFFICIAL</vt:lpwstr>
  </property>
  <property fmtid="{D5CDD505-2E9C-101B-9397-08002B2CF9AE}" pid="11" name="MSIP_Label_9a5e7792-7543-4db2-bcc9-9caeff0b8eb1_SiteId">
    <vt:lpwstr>402fca06-dc9c-412f-9bf9-1a335a4671f7</vt:lpwstr>
  </property>
  <property fmtid="{D5CDD505-2E9C-101B-9397-08002B2CF9AE}" pid="12" name="MSIP_Label_9a5e7792-7543-4db2-bcc9-9caeff0b8eb1_ActionId">
    <vt:lpwstr>7962e93e-26af-4d46-8666-5383a289c35f</vt:lpwstr>
  </property>
  <property fmtid="{D5CDD505-2E9C-101B-9397-08002B2CF9AE}" pid="13" name="MSIP_Label_9a5e7792-7543-4db2-bcc9-9caeff0b8eb1_ContentBits">
    <vt:lpwstr>0</vt:lpwstr>
  </property>
</Properties>
</file>