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69AAC" w14:textId="77777777" w:rsidR="00EF4A3B" w:rsidRPr="00294536" w:rsidRDefault="00751AE1" w:rsidP="008917CA">
      <w:pPr>
        <w:pStyle w:val="Heading1"/>
      </w:pPr>
      <w:r w:rsidRPr="00294536">
        <w:t xml:space="preserve">Key Changes - </w:t>
      </w:r>
      <w:r w:rsidR="00586F34" w:rsidRPr="00294536">
        <w:t>I</w:t>
      </w:r>
      <w:r w:rsidR="00586F34">
        <w:t>deas</w:t>
      </w:r>
      <w:r w:rsidR="00586F34" w:rsidRPr="00294536">
        <w:t xml:space="preserve"> </w:t>
      </w:r>
      <w:r w:rsidRPr="00294536">
        <w:t>Grants 2021</w:t>
      </w:r>
    </w:p>
    <w:p w14:paraId="2868A4CC" w14:textId="77777777" w:rsidR="0054596A" w:rsidRDefault="0054596A" w:rsidP="000F1AB8">
      <w:pPr>
        <w:spacing w:after="0" w:line="240" w:lineRule="auto"/>
      </w:pPr>
    </w:p>
    <w:p w14:paraId="5186DBE8" w14:textId="77777777" w:rsidR="006149B5" w:rsidRDefault="006149B5" w:rsidP="000F1AB8">
      <w:pPr>
        <w:spacing w:after="0" w:line="240" w:lineRule="auto"/>
      </w:pPr>
      <w:r>
        <w:t>This document outlines</w:t>
      </w:r>
      <w:r w:rsidR="00586F34">
        <w:t xml:space="preserve"> key changes to the Ideas</w:t>
      </w:r>
      <w:r>
        <w:t xml:space="preserve"> Grant scheme for 2021 in response to feedback from the sector and experience in previous rounds.</w:t>
      </w:r>
    </w:p>
    <w:p w14:paraId="3DAF3D28" w14:textId="77777777" w:rsidR="006149B5" w:rsidRDefault="006149B5" w:rsidP="000F1AB8">
      <w:pPr>
        <w:spacing w:after="0" w:line="240" w:lineRule="auto"/>
      </w:pPr>
    </w:p>
    <w:p w14:paraId="06C9F443" w14:textId="77777777" w:rsidR="00EF4A3B" w:rsidRDefault="00F1255D" w:rsidP="000F1AB8">
      <w:pPr>
        <w:spacing w:after="0" w:line="240" w:lineRule="auto"/>
      </w:pPr>
      <w:r>
        <w:t xml:space="preserve">Feedback </w:t>
      </w:r>
      <w:r w:rsidR="00751AE1">
        <w:t xml:space="preserve">is sought from peer reviewers </w:t>
      </w:r>
      <w:r w:rsidR="008D7A9F">
        <w:t>at the</w:t>
      </w:r>
      <w:r w:rsidR="00586F34">
        <w:t xml:space="preserve"> conclusion of each Ideas</w:t>
      </w:r>
      <w:r w:rsidR="008D7A9F">
        <w:t xml:space="preserve"> Grant round </w:t>
      </w:r>
      <w:r w:rsidR="00D36B70">
        <w:t xml:space="preserve">and </w:t>
      </w:r>
      <w:r w:rsidR="008D7A9F">
        <w:t xml:space="preserve">is </w:t>
      </w:r>
      <w:r w:rsidR="00D36B70">
        <w:t xml:space="preserve">received </w:t>
      </w:r>
      <w:r w:rsidR="00DC1BD8">
        <w:t xml:space="preserve">from </w:t>
      </w:r>
      <w:r w:rsidR="00D36B70">
        <w:t>applicants</w:t>
      </w:r>
      <w:r w:rsidR="008D7A9F">
        <w:t xml:space="preserve"> throughout the round</w:t>
      </w:r>
      <w:r w:rsidR="00751AE1">
        <w:t>.</w:t>
      </w:r>
      <w:r w:rsidR="00EF4A3B">
        <w:t xml:space="preserve"> </w:t>
      </w:r>
      <w:r w:rsidR="00BD280A">
        <w:t xml:space="preserve">This feedback contributes to </w:t>
      </w:r>
      <w:r w:rsidR="005D5C5E">
        <w:t xml:space="preserve">a </w:t>
      </w:r>
      <w:r w:rsidR="00EF4A3B">
        <w:t>detailed polic</w:t>
      </w:r>
      <w:r w:rsidR="000F1AB8">
        <w:t>y analysi</w:t>
      </w:r>
      <w:r w:rsidR="00AC40F6">
        <w:t xml:space="preserve">s to </w:t>
      </w:r>
      <w:r w:rsidR="00EF4A3B">
        <w:t xml:space="preserve">determine whether the </w:t>
      </w:r>
      <w:r w:rsidR="00A07167">
        <w:t>scheme</w:t>
      </w:r>
      <w:r w:rsidR="00EF4A3B">
        <w:t xml:space="preserve"> is achieving its objectives and </w:t>
      </w:r>
      <w:r w:rsidR="00DC1BD8">
        <w:t xml:space="preserve">whether </w:t>
      </w:r>
      <w:r w:rsidR="00EF4A3B">
        <w:t xml:space="preserve">any </w:t>
      </w:r>
      <w:r w:rsidR="00751AE1">
        <w:t xml:space="preserve">adjustments are required. </w:t>
      </w:r>
    </w:p>
    <w:p w14:paraId="0CAC61D2" w14:textId="77777777" w:rsidR="000F1AB8" w:rsidRDefault="000F1AB8" w:rsidP="000F1AB8">
      <w:pPr>
        <w:spacing w:after="0" w:line="240" w:lineRule="auto"/>
      </w:pPr>
    </w:p>
    <w:p w14:paraId="4C316099" w14:textId="404D6E9E" w:rsidR="006D0E33" w:rsidRDefault="00EF4A3B" w:rsidP="000F1AB8">
      <w:pPr>
        <w:spacing w:after="0" w:line="240" w:lineRule="auto"/>
      </w:pPr>
      <w:r>
        <w:t xml:space="preserve">For </w:t>
      </w:r>
      <w:r w:rsidR="00F1255D">
        <w:t>the</w:t>
      </w:r>
      <w:r>
        <w:t xml:space="preserve"> </w:t>
      </w:r>
      <w:r w:rsidR="00BD280A">
        <w:t>2021</w:t>
      </w:r>
      <w:r w:rsidR="00586F34">
        <w:t xml:space="preserve"> round of Ideas</w:t>
      </w:r>
      <w:r w:rsidR="00F1255D">
        <w:t xml:space="preserve"> Grants,</w:t>
      </w:r>
      <w:r>
        <w:t xml:space="preserve"> the </w:t>
      </w:r>
      <w:r w:rsidR="005D5C5E">
        <w:t xml:space="preserve">key </w:t>
      </w:r>
      <w:r>
        <w:t xml:space="preserve">changes </w:t>
      </w:r>
      <w:r w:rsidR="005D5C5E">
        <w:t xml:space="preserve">listed below </w:t>
      </w:r>
      <w:r>
        <w:t xml:space="preserve">are intended to </w:t>
      </w:r>
      <w:r w:rsidR="004A305E">
        <w:t xml:space="preserve">clarify NHMRC policy and </w:t>
      </w:r>
      <w:r w:rsidR="00691E2E">
        <w:t>continue to streamline</w:t>
      </w:r>
      <w:r w:rsidR="004A305E">
        <w:t xml:space="preserve"> peer review of applications.</w:t>
      </w:r>
      <w:r>
        <w:t xml:space="preserve"> </w:t>
      </w:r>
    </w:p>
    <w:p w14:paraId="1D53A6F9" w14:textId="77777777" w:rsidR="0054596A" w:rsidRDefault="0054596A" w:rsidP="000F1AB8">
      <w:pPr>
        <w:spacing w:after="0" w:line="240" w:lineRule="auto"/>
      </w:pPr>
    </w:p>
    <w:p w14:paraId="2D396CAF" w14:textId="77777777" w:rsidR="00393D5B" w:rsidRPr="000F1AB8" w:rsidRDefault="00393D5B" w:rsidP="00294536">
      <w:pPr>
        <w:pBdr>
          <w:bottom w:val="single" w:sz="12" w:space="1" w:color="auto"/>
        </w:pBdr>
      </w:pPr>
    </w:p>
    <w:p w14:paraId="0F0B4154" w14:textId="77777777" w:rsidR="00811FCA" w:rsidRPr="00811FCA" w:rsidRDefault="00811FCA" w:rsidP="008917CA">
      <w:pPr>
        <w:pStyle w:val="Heading2"/>
      </w:pPr>
      <w:r w:rsidRPr="00811FCA">
        <w:t>APPLICATION</w:t>
      </w:r>
    </w:p>
    <w:p w14:paraId="3DD5FF7E" w14:textId="77777777" w:rsidR="00EF4A3B" w:rsidRPr="00811FCA" w:rsidRDefault="00EF4A3B" w:rsidP="008917CA">
      <w:pPr>
        <w:pStyle w:val="Heading3"/>
      </w:pPr>
      <w:r w:rsidRPr="00811FCA">
        <w:t xml:space="preserve">Application </w:t>
      </w:r>
      <w:r w:rsidR="00811FCA">
        <w:t>P</w:t>
      </w:r>
      <w:r w:rsidR="00811FCA" w:rsidRPr="00811FCA">
        <w:t>eriod</w:t>
      </w:r>
    </w:p>
    <w:p w14:paraId="55B765A8" w14:textId="77777777" w:rsidR="00F556D3" w:rsidRDefault="00F556D3" w:rsidP="007801D5">
      <w:pPr>
        <w:spacing w:after="0" w:line="240" w:lineRule="auto"/>
      </w:pPr>
      <w:r>
        <w:t xml:space="preserve">Indicative dates for the </w:t>
      </w:r>
      <w:r w:rsidR="00316D33">
        <w:t xml:space="preserve">2021 </w:t>
      </w:r>
      <w:r>
        <w:t>round are at Table 1.</w:t>
      </w:r>
      <w:r w:rsidR="00316D33">
        <w:t xml:space="preserve"> </w:t>
      </w:r>
    </w:p>
    <w:p w14:paraId="77C3B28C" w14:textId="77777777" w:rsidR="0068196C" w:rsidRDefault="0068196C" w:rsidP="007801D5">
      <w:pPr>
        <w:spacing w:after="0" w:line="240" w:lineRule="auto"/>
      </w:pPr>
    </w:p>
    <w:p w14:paraId="29A5A0DE" w14:textId="77777777" w:rsidR="00EF4A3B" w:rsidRDefault="00EF4A3B" w:rsidP="007801D5">
      <w:pPr>
        <w:spacing w:after="0" w:line="240" w:lineRule="auto"/>
      </w:pPr>
      <w:r>
        <w:t xml:space="preserve">Table 1. Indicative key dates for </w:t>
      </w:r>
      <w:r w:rsidR="00703B4D">
        <w:t xml:space="preserve">Ideas </w:t>
      </w:r>
      <w:r>
        <w:t>Grants 202</w:t>
      </w:r>
      <w:r w:rsidR="00524539">
        <w:t>1</w:t>
      </w:r>
      <w:r>
        <w:t>.</w:t>
      </w:r>
    </w:p>
    <w:tbl>
      <w:tblPr>
        <w:tblStyle w:val="TableGrid"/>
        <w:tblW w:w="0" w:type="auto"/>
        <w:tblLook w:val="04A0" w:firstRow="1" w:lastRow="0" w:firstColumn="1" w:lastColumn="0" w:noHBand="0" w:noVBand="1"/>
      </w:tblPr>
      <w:tblGrid>
        <w:gridCol w:w="4508"/>
        <w:gridCol w:w="4508"/>
      </w:tblGrid>
      <w:tr w:rsidR="00AC40F6" w14:paraId="1122D374" w14:textId="77777777" w:rsidTr="007801D5">
        <w:tc>
          <w:tcPr>
            <w:tcW w:w="4508" w:type="dxa"/>
          </w:tcPr>
          <w:p w14:paraId="52192FCD" w14:textId="77777777" w:rsidR="00AC40F6" w:rsidRPr="0068196C" w:rsidRDefault="00AC40F6" w:rsidP="00926BEB">
            <w:pPr>
              <w:ind w:left="284"/>
              <w:rPr>
                <w:b/>
              </w:rPr>
            </w:pPr>
            <w:r w:rsidRPr="0068196C">
              <w:rPr>
                <w:b/>
              </w:rPr>
              <w:t>Activity</w:t>
            </w:r>
          </w:p>
        </w:tc>
        <w:tc>
          <w:tcPr>
            <w:tcW w:w="4508" w:type="dxa"/>
          </w:tcPr>
          <w:p w14:paraId="2B4BAC6E" w14:textId="77777777" w:rsidR="00AC40F6" w:rsidRPr="0068196C" w:rsidRDefault="00AC40F6" w:rsidP="00926BEB">
            <w:pPr>
              <w:ind w:left="284"/>
              <w:rPr>
                <w:b/>
              </w:rPr>
            </w:pPr>
            <w:r w:rsidRPr="0068196C">
              <w:rPr>
                <w:b/>
              </w:rPr>
              <w:t>Date</w:t>
            </w:r>
          </w:p>
        </w:tc>
      </w:tr>
      <w:tr w:rsidR="00AC40F6" w14:paraId="30496111" w14:textId="77777777" w:rsidTr="007801D5">
        <w:tc>
          <w:tcPr>
            <w:tcW w:w="4508" w:type="dxa"/>
          </w:tcPr>
          <w:p w14:paraId="0016B44E" w14:textId="77777777" w:rsidR="00AC40F6" w:rsidRDefault="00AC40F6" w:rsidP="00926BEB">
            <w:pPr>
              <w:ind w:left="284"/>
            </w:pPr>
            <w:r>
              <w:t>Applications open</w:t>
            </w:r>
          </w:p>
        </w:tc>
        <w:tc>
          <w:tcPr>
            <w:tcW w:w="4508" w:type="dxa"/>
          </w:tcPr>
          <w:p w14:paraId="020FB96E" w14:textId="77777777" w:rsidR="00AC40F6" w:rsidRDefault="00586F34" w:rsidP="00926BEB">
            <w:pPr>
              <w:ind w:left="284"/>
            </w:pPr>
            <w:r>
              <w:t>10 March</w:t>
            </w:r>
            <w:r w:rsidR="009E51D4">
              <w:t xml:space="preserve"> 2021</w:t>
            </w:r>
          </w:p>
        </w:tc>
      </w:tr>
      <w:tr w:rsidR="00AC40F6" w14:paraId="1399C346" w14:textId="77777777" w:rsidTr="007801D5">
        <w:tc>
          <w:tcPr>
            <w:tcW w:w="4508" w:type="dxa"/>
          </w:tcPr>
          <w:p w14:paraId="0A1DA1D7" w14:textId="77777777" w:rsidR="00AC40F6" w:rsidRDefault="00AC40F6" w:rsidP="00926BEB">
            <w:pPr>
              <w:ind w:left="284"/>
            </w:pPr>
            <w:r>
              <w:t>Minimum data</w:t>
            </w:r>
          </w:p>
        </w:tc>
        <w:tc>
          <w:tcPr>
            <w:tcW w:w="4508" w:type="dxa"/>
          </w:tcPr>
          <w:p w14:paraId="2DD65C25" w14:textId="77777777" w:rsidR="00AC40F6" w:rsidRDefault="00F556D3" w:rsidP="00926BEB">
            <w:pPr>
              <w:ind w:left="284"/>
            </w:pPr>
            <w:r>
              <w:t>17.</w:t>
            </w:r>
            <w:r w:rsidR="000675F4">
              <w:t>00 AEST</w:t>
            </w:r>
            <w:r w:rsidR="00586F34">
              <w:t>, 7 April</w:t>
            </w:r>
            <w:r w:rsidR="009E51D4">
              <w:t xml:space="preserve"> 2021</w:t>
            </w:r>
          </w:p>
        </w:tc>
      </w:tr>
      <w:tr w:rsidR="00AC40F6" w14:paraId="5947FC16" w14:textId="77777777" w:rsidTr="007801D5">
        <w:tc>
          <w:tcPr>
            <w:tcW w:w="4508" w:type="dxa"/>
          </w:tcPr>
          <w:p w14:paraId="0CE50104" w14:textId="77777777" w:rsidR="00AC40F6" w:rsidRDefault="00AC40F6" w:rsidP="00926BEB">
            <w:pPr>
              <w:ind w:left="284"/>
            </w:pPr>
            <w:r>
              <w:t>Applications close</w:t>
            </w:r>
          </w:p>
        </w:tc>
        <w:tc>
          <w:tcPr>
            <w:tcW w:w="4508" w:type="dxa"/>
          </w:tcPr>
          <w:p w14:paraId="4864ACDA" w14:textId="77777777" w:rsidR="00AC40F6" w:rsidRDefault="00F556D3" w:rsidP="00926BEB">
            <w:pPr>
              <w:ind w:left="284"/>
            </w:pPr>
            <w:r>
              <w:t>17.</w:t>
            </w:r>
            <w:r w:rsidR="000675F4">
              <w:t>00 AEST</w:t>
            </w:r>
            <w:r w:rsidR="009E51D4">
              <w:t xml:space="preserve">, </w:t>
            </w:r>
            <w:r w:rsidR="00586F34">
              <w:t>5 May</w:t>
            </w:r>
            <w:r w:rsidR="009E51D4">
              <w:t xml:space="preserve"> 2021</w:t>
            </w:r>
          </w:p>
        </w:tc>
      </w:tr>
      <w:tr w:rsidR="00AC40F6" w14:paraId="44B03FB1" w14:textId="77777777" w:rsidTr="007801D5">
        <w:tc>
          <w:tcPr>
            <w:tcW w:w="4508" w:type="dxa"/>
          </w:tcPr>
          <w:p w14:paraId="399ED07A" w14:textId="77777777" w:rsidR="00AC40F6" w:rsidRDefault="00AC40F6" w:rsidP="00926BEB">
            <w:pPr>
              <w:ind w:left="284"/>
            </w:pPr>
            <w:r>
              <w:t>Peer reviewer suitability and conflict of</w:t>
            </w:r>
          </w:p>
          <w:p w14:paraId="1CB0B529" w14:textId="77777777" w:rsidR="00AC40F6" w:rsidRDefault="00AC40F6" w:rsidP="00926BEB">
            <w:pPr>
              <w:ind w:left="284"/>
            </w:pPr>
            <w:r>
              <w:t xml:space="preserve">interest declarations </w:t>
            </w:r>
          </w:p>
        </w:tc>
        <w:tc>
          <w:tcPr>
            <w:tcW w:w="4508" w:type="dxa"/>
          </w:tcPr>
          <w:p w14:paraId="42229B65" w14:textId="1739F23A" w:rsidR="00AC40F6" w:rsidRDefault="00AE637D" w:rsidP="00E949E6">
            <w:pPr>
              <w:ind w:left="284"/>
            </w:pPr>
            <w:r>
              <w:t xml:space="preserve">Late </w:t>
            </w:r>
            <w:r w:rsidR="006C4C25">
              <w:t>May</w:t>
            </w:r>
            <w:r>
              <w:t xml:space="preserve"> to </w:t>
            </w:r>
            <w:r w:rsidR="006C4C25">
              <w:t>June</w:t>
            </w:r>
            <w:r>
              <w:t xml:space="preserve"> 2021</w:t>
            </w:r>
          </w:p>
        </w:tc>
      </w:tr>
      <w:tr w:rsidR="00AC40F6" w14:paraId="009F7539" w14:textId="77777777" w:rsidTr="007801D5">
        <w:tc>
          <w:tcPr>
            <w:tcW w:w="4508" w:type="dxa"/>
          </w:tcPr>
          <w:p w14:paraId="38884683" w14:textId="77777777" w:rsidR="00AC40F6" w:rsidRDefault="00AC40F6" w:rsidP="00926BEB">
            <w:pPr>
              <w:ind w:left="284"/>
            </w:pPr>
            <w:r>
              <w:t xml:space="preserve">Peer reviewers </w:t>
            </w:r>
            <w:r w:rsidR="00904E32">
              <w:t>complete</w:t>
            </w:r>
            <w:r>
              <w:t xml:space="preserve"> assessments</w:t>
            </w:r>
          </w:p>
        </w:tc>
        <w:tc>
          <w:tcPr>
            <w:tcW w:w="4508" w:type="dxa"/>
          </w:tcPr>
          <w:p w14:paraId="5F05E7EE" w14:textId="0A5DF95A" w:rsidR="00AC40F6" w:rsidRDefault="006C4C25" w:rsidP="00926BEB">
            <w:pPr>
              <w:ind w:left="284"/>
            </w:pPr>
            <w:r>
              <w:t>July</w:t>
            </w:r>
            <w:r w:rsidR="00AE637D">
              <w:t xml:space="preserve"> - </w:t>
            </w:r>
            <w:r>
              <w:t>August</w:t>
            </w:r>
            <w:r w:rsidR="00AE637D">
              <w:t xml:space="preserve"> 2021</w:t>
            </w:r>
          </w:p>
        </w:tc>
      </w:tr>
      <w:tr w:rsidR="00AC40F6" w14:paraId="45425B9F" w14:textId="77777777" w:rsidTr="007801D5">
        <w:tc>
          <w:tcPr>
            <w:tcW w:w="4508" w:type="dxa"/>
          </w:tcPr>
          <w:p w14:paraId="0060C46F" w14:textId="77777777" w:rsidR="00AC40F6" w:rsidRDefault="00F556D3" w:rsidP="00926BEB">
            <w:pPr>
              <w:ind w:left="284"/>
            </w:pPr>
            <w:r>
              <w:t>Anticipated notification of outcomes</w:t>
            </w:r>
            <w:r w:rsidR="00AC40F6">
              <w:t xml:space="preserve"> under embargo</w:t>
            </w:r>
            <w:r>
              <w:t>*</w:t>
            </w:r>
          </w:p>
        </w:tc>
        <w:tc>
          <w:tcPr>
            <w:tcW w:w="4508" w:type="dxa"/>
          </w:tcPr>
          <w:p w14:paraId="1B5C76B2" w14:textId="77777777" w:rsidR="00AC40F6" w:rsidRDefault="000675F4" w:rsidP="00926BEB">
            <w:pPr>
              <w:ind w:left="284"/>
            </w:pPr>
            <w:r>
              <w:t>December 2021</w:t>
            </w:r>
          </w:p>
        </w:tc>
      </w:tr>
    </w:tbl>
    <w:p w14:paraId="1DC1C5BF" w14:textId="77777777" w:rsidR="00AC40F6" w:rsidRDefault="00F556D3" w:rsidP="007801D5">
      <w:pPr>
        <w:rPr>
          <w:rFonts w:eastAsia="Arial"/>
        </w:rPr>
      </w:pPr>
      <w:r>
        <w:t>*</w:t>
      </w:r>
      <w:r w:rsidRPr="00F556D3">
        <w:rPr>
          <w:rFonts w:eastAsia="Arial"/>
        </w:rPr>
        <w:t xml:space="preserve"> </w:t>
      </w:r>
      <w:r>
        <w:rPr>
          <w:rFonts w:eastAsia="Arial"/>
        </w:rPr>
        <w:t>Date is indicative and subject to change.</w:t>
      </w:r>
    </w:p>
    <w:p w14:paraId="2DCBE1D7" w14:textId="77777777" w:rsidR="00586F34" w:rsidRDefault="00586F34" w:rsidP="00691E2E">
      <w:pPr>
        <w:rPr>
          <w:b/>
          <w:sz w:val="24"/>
          <w:szCs w:val="24"/>
        </w:rPr>
      </w:pPr>
    </w:p>
    <w:p w14:paraId="01A3CA74" w14:textId="77777777" w:rsidR="00EF4A3B" w:rsidRPr="00811FCA" w:rsidRDefault="00EF4A3B" w:rsidP="008917CA">
      <w:pPr>
        <w:pStyle w:val="Heading3"/>
      </w:pPr>
      <w:r w:rsidRPr="00811FCA">
        <w:t xml:space="preserve">Application </w:t>
      </w:r>
      <w:r w:rsidR="00811FCA">
        <w:t>F</w:t>
      </w:r>
      <w:r w:rsidR="00811FCA" w:rsidRPr="00811FCA">
        <w:t>orm</w:t>
      </w:r>
    </w:p>
    <w:p w14:paraId="039A7359" w14:textId="77777777" w:rsidR="00EF4A3B" w:rsidRDefault="0018451C" w:rsidP="007801D5">
      <w:r>
        <w:t>A</w:t>
      </w:r>
      <w:r w:rsidR="003528E0">
        <w:t>pplications will be sub</w:t>
      </w:r>
      <w:r w:rsidR="00586F34">
        <w:t>mitted in Sapphire for the Ideas</w:t>
      </w:r>
      <w:r w:rsidR="003528E0">
        <w:t xml:space="preserve"> Grant scheme.</w:t>
      </w:r>
      <w:r w:rsidR="00FB1C61">
        <w:t xml:space="preserve"> Information on how to submit applications in </w:t>
      </w:r>
      <w:r w:rsidR="00082EA2">
        <w:t xml:space="preserve">Sapphire </w:t>
      </w:r>
      <w:r w:rsidR="00FB1C61">
        <w:t xml:space="preserve">will </w:t>
      </w:r>
      <w:r w:rsidR="0068196C">
        <w:t>be available in the Guide t</w:t>
      </w:r>
      <w:r w:rsidR="00A02A83">
        <w:t>o Applicants</w:t>
      </w:r>
      <w:r w:rsidR="00AE38F1">
        <w:t xml:space="preserve"> </w:t>
      </w:r>
      <w:r w:rsidR="00703B4D">
        <w:t>(</w:t>
      </w:r>
      <w:r w:rsidR="00AE38F1">
        <w:t xml:space="preserve">Appendix </w:t>
      </w:r>
      <w:r w:rsidR="00926BEB">
        <w:t>E to</w:t>
      </w:r>
      <w:r w:rsidR="00AE38F1">
        <w:t xml:space="preserve"> the Grant Guidelines</w:t>
      </w:r>
      <w:r w:rsidR="00703B4D">
        <w:t>)</w:t>
      </w:r>
      <w:r w:rsidR="00AE38F1">
        <w:t xml:space="preserve"> </w:t>
      </w:r>
      <w:r w:rsidR="00DC1BD8">
        <w:t xml:space="preserve">when the </w:t>
      </w:r>
      <w:r w:rsidR="00AE38F1">
        <w:t>scheme open</w:t>
      </w:r>
      <w:r w:rsidR="00DC1BD8">
        <w:t>s</w:t>
      </w:r>
      <w:r w:rsidR="00A02A83">
        <w:t>.</w:t>
      </w:r>
    </w:p>
    <w:p w14:paraId="5747E171" w14:textId="49F67E61" w:rsidR="00D45380" w:rsidRDefault="00691E2E" w:rsidP="007801D5">
      <w:r>
        <w:rPr>
          <w:rFonts w:cstheme="minorHAnsi"/>
          <w:color w:val="202020"/>
        </w:rPr>
        <w:t xml:space="preserve">Any researcher intending to be a Chief Investigator (CIA – CIJ) or an Associate Investigator on an Ideas Grant application MUST have an active Sapphire account in order to be listed on a grant application. </w:t>
      </w:r>
      <w:r w:rsidR="00DC1BD8">
        <w:rPr>
          <w:rFonts w:cstheme="minorHAnsi"/>
          <w:color w:val="202020"/>
        </w:rPr>
        <w:t>It is recommended that</w:t>
      </w:r>
      <w:r w:rsidR="00D45380">
        <w:rPr>
          <w:rFonts w:cstheme="minorHAnsi"/>
          <w:color w:val="202020"/>
        </w:rPr>
        <w:t xml:space="preserve"> new users register for a </w:t>
      </w:r>
      <w:r w:rsidR="00DC1BD8">
        <w:rPr>
          <w:rFonts w:cstheme="minorHAnsi"/>
          <w:color w:val="202020"/>
        </w:rPr>
        <w:t xml:space="preserve">Sapphire </w:t>
      </w:r>
      <w:r w:rsidR="00D45380">
        <w:rPr>
          <w:rFonts w:cstheme="minorHAnsi"/>
          <w:color w:val="202020"/>
        </w:rPr>
        <w:t xml:space="preserve">account in advance of the opening date to update their profile and become familiar with the system. </w:t>
      </w:r>
      <w:r w:rsidR="00D45380" w:rsidRPr="00200B75">
        <w:rPr>
          <w:rFonts w:cstheme="minorHAnsi"/>
          <w:color w:val="202020"/>
        </w:rPr>
        <w:t xml:space="preserve">Information on how to do this is available from the </w:t>
      </w:r>
      <w:hyperlink r:id="rId7" w:history="1">
        <w:r w:rsidR="00D45380" w:rsidRPr="00200B75">
          <w:rPr>
            <w:rStyle w:val="Hyperlink"/>
            <w:rFonts w:cstheme="minorHAnsi"/>
            <w:color w:val="007C89"/>
          </w:rPr>
          <w:t>Sapphire landing page</w:t>
        </w:r>
      </w:hyperlink>
      <w:r w:rsidR="00D45380">
        <w:rPr>
          <w:rFonts w:cstheme="minorHAnsi"/>
          <w:color w:val="202020"/>
        </w:rPr>
        <w:t xml:space="preserve"> </w:t>
      </w:r>
      <w:r w:rsidR="00A07167">
        <w:rPr>
          <w:rFonts w:cstheme="minorHAnsi"/>
          <w:color w:val="202020"/>
        </w:rPr>
        <w:t>and</w:t>
      </w:r>
      <w:r w:rsidR="00D45380" w:rsidRPr="00B65758">
        <w:rPr>
          <w:rFonts w:cstheme="minorHAnsi"/>
          <w:color w:val="202020"/>
        </w:rPr>
        <w:t xml:space="preserve"> the </w:t>
      </w:r>
      <w:hyperlink r:id="rId8" w:history="1">
        <w:r w:rsidR="00D45380" w:rsidRPr="00B65758">
          <w:rPr>
            <w:rStyle w:val="Hyperlink"/>
            <w:rFonts w:cstheme="minorHAnsi"/>
            <w:color w:val="007C89"/>
          </w:rPr>
          <w:t>Sapphire Internet Page</w:t>
        </w:r>
      </w:hyperlink>
      <w:r w:rsidR="00D45380">
        <w:rPr>
          <w:rFonts w:cstheme="minorHAnsi"/>
          <w:color w:val="202020"/>
        </w:rPr>
        <w:t>.</w:t>
      </w:r>
    </w:p>
    <w:p w14:paraId="7BA095A7" w14:textId="77777777" w:rsidR="00486503" w:rsidRDefault="00486503" w:rsidP="00093CCC">
      <w:pPr>
        <w:spacing w:after="0" w:line="240" w:lineRule="auto"/>
      </w:pPr>
    </w:p>
    <w:p w14:paraId="5A9A344F" w14:textId="77777777" w:rsidR="009F56E8" w:rsidRPr="00294536" w:rsidRDefault="009F56E8" w:rsidP="008917CA">
      <w:pPr>
        <w:pStyle w:val="Heading3"/>
      </w:pPr>
      <w:r w:rsidRPr="00294536">
        <w:lastRenderedPageBreak/>
        <w:t>Use of Gender Neutral Language</w:t>
      </w:r>
    </w:p>
    <w:p w14:paraId="68D5924A" w14:textId="77777777" w:rsidR="009758E2" w:rsidRDefault="009758E2" w:rsidP="007801D5">
      <w:pPr>
        <w:spacing w:after="0" w:line="240" w:lineRule="auto"/>
      </w:pPr>
      <w:r w:rsidRPr="009758E2">
        <w:t xml:space="preserve">NHMRC is committed to gender equality in health and medical research. Fostering gender equality in peer review is a strategic objective, underpinned by </w:t>
      </w:r>
      <w:hyperlink r:id="rId9" w:history="1">
        <w:r w:rsidRPr="007801D5">
          <w:rPr>
            <w:rStyle w:val="Hyperlink"/>
          </w:rPr>
          <w:t>NHMRC’s Gender Equality Strategy 2018–2021</w:t>
        </w:r>
      </w:hyperlink>
      <w:r w:rsidRPr="009758E2">
        <w:t xml:space="preserve">. </w:t>
      </w:r>
    </w:p>
    <w:p w14:paraId="645A07AF" w14:textId="77777777" w:rsidR="007801D5" w:rsidRDefault="007801D5" w:rsidP="007801D5">
      <w:pPr>
        <w:tabs>
          <w:tab w:val="left" w:pos="6602"/>
        </w:tabs>
        <w:spacing w:after="0" w:line="240" w:lineRule="auto"/>
      </w:pPr>
    </w:p>
    <w:p w14:paraId="6CE5A681" w14:textId="77777777" w:rsidR="00455409" w:rsidRPr="00926BEB" w:rsidRDefault="009F56E8" w:rsidP="007801D5">
      <w:pPr>
        <w:tabs>
          <w:tab w:val="left" w:pos="6602"/>
        </w:tabs>
        <w:spacing w:after="0" w:line="240" w:lineRule="auto"/>
      </w:pPr>
      <w:r>
        <w:t>T</w:t>
      </w:r>
      <w:r w:rsidR="00337CAD">
        <w:t>o support this</w:t>
      </w:r>
      <w:r w:rsidR="00380FE6">
        <w:t xml:space="preserve"> objective</w:t>
      </w:r>
      <w:r w:rsidR="00337CAD">
        <w:t xml:space="preserve">, </w:t>
      </w:r>
      <w:r w:rsidR="009758E2">
        <w:t xml:space="preserve">NHMRC is strongly </w:t>
      </w:r>
      <w:r w:rsidR="00455409">
        <w:t xml:space="preserve">encouraging the </w:t>
      </w:r>
      <w:r w:rsidR="009758E2" w:rsidRPr="009758E2">
        <w:t xml:space="preserve">use </w:t>
      </w:r>
      <w:r w:rsidR="00455409">
        <w:t xml:space="preserve">of </w:t>
      </w:r>
      <w:r w:rsidR="009758E2" w:rsidRPr="009758E2">
        <w:t>gender-neutral language</w:t>
      </w:r>
      <w:r w:rsidR="00840AEF">
        <w:t xml:space="preserve"> in applications</w:t>
      </w:r>
      <w:r w:rsidR="00380FE6">
        <w:t xml:space="preserve"> to all its schemes</w:t>
      </w:r>
      <w:r w:rsidR="009758E2" w:rsidRPr="009758E2">
        <w:t xml:space="preserve">. </w:t>
      </w:r>
      <w:r w:rsidR="00840AEF" w:rsidRPr="00926BEB">
        <w:t>This means that, wherever possible and appropriate, applicants should avoid the use of words that reveal their gender or the gender of team members. These words include (but are not limited to) her, him, she, he, Mr, Ms</w:t>
      </w:r>
      <w:r w:rsidR="00380FE6" w:rsidRPr="00926BEB">
        <w:t>,</w:t>
      </w:r>
      <w:r w:rsidR="00840AEF" w:rsidRPr="00926BEB">
        <w:t xml:space="preserve"> Mrs and Miss, as well as first names and terms such as ‘maternity leave’. </w:t>
      </w:r>
    </w:p>
    <w:p w14:paraId="41318C36" w14:textId="77777777" w:rsidR="00455409" w:rsidRPr="00926BEB" w:rsidRDefault="00455409" w:rsidP="007801D5">
      <w:pPr>
        <w:spacing w:after="0" w:line="240" w:lineRule="auto"/>
      </w:pPr>
    </w:p>
    <w:p w14:paraId="24DCDC72" w14:textId="0A7BA01A" w:rsidR="009D31A4" w:rsidRDefault="009758E2" w:rsidP="007801D5">
      <w:pPr>
        <w:spacing w:after="0" w:line="240" w:lineRule="auto"/>
      </w:pPr>
      <w:r w:rsidRPr="009758E2">
        <w:t xml:space="preserve">This </w:t>
      </w:r>
      <w:r w:rsidR="00A6560A">
        <w:t>aims to</w:t>
      </w:r>
      <w:r w:rsidR="00A6560A" w:rsidRPr="009758E2">
        <w:t xml:space="preserve"> </w:t>
      </w:r>
      <w:r w:rsidR="00455409">
        <w:t>de-emphasise gender in the assessment of grant applications and reduce the potential impact of</w:t>
      </w:r>
      <w:r w:rsidRPr="009758E2">
        <w:t xml:space="preserve"> unconscious gender bias</w:t>
      </w:r>
      <w:r>
        <w:t>.</w:t>
      </w:r>
      <w:r w:rsidR="00691E2E">
        <w:t xml:space="preserve"> (Peer reviewers will also be instructed to use gender-neutral language in their written comments.)</w:t>
      </w:r>
    </w:p>
    <w:p w14:paraId="4801B94F" w14:textId="77777777" w:rsidR="00E721B0" w:rsidRDefault="00E721B0" w:rsidP="00093CCC">
      <w:pPr>
        <w:spacing w:after="0" w:line="240" w:lineRule="auto"/>
      </w:pPr>
    </w:p>
    <w:p w14:paraId="052EF8E0" w14:textId="77777777" w:rsidR="00E721B0" w:rsidRDefault="00E721B0" w:rsidP="008917CA">
      <w:pPr>
        <w:pStyle w:val="Heading3"/>
      </w:pPr>
      <w:r w:rsidRPr="00E721B0">
        <w:t>Indigenous Research Excellence</w:t>
      </w:r>
    </w:p>
    <w:p w14:paraId="760E4F70" w14:textId="76574E6A" w:rsidR="00E721B0" w:rsidRDefault="00E721B0" w:rsidP="00F1103B">
      <w:pPr>
        <w:tabs>
          <w:tab w:val="left" w:pos="6602"/>
        </w:tabs>
        <w:spacing w:after="0" w:line="240" w:lineRule="auto"/>
      </w:pPr>
      <w:r w:rsidRPr="00E721B0">
        <w:t>Indigenous Research Excellence Criteria</w:t>
      </w:r>
      <w:r w:rsidRPr="00F1103B">
        <w:t xml:space="preserve"> </w:t>
      </w:r>
      <w:r>
        <w:t>are</w:t>
      </w:r>
      <w:r w:rsidRPr="003C445F">
        <w:t xml:space="preserve"> to be addressed </w:t>
      </w:r>
      <w:r w:rsidR="00457CF6">
        <w:t xml:space="preserve">with fields </w:t>
      </w:r>
      <w:r w:rsidRPr="003C445F">
        <w:t xml:space="preserve">in Sapphire, </w:t>
      </w:r>
      <w:r w:rsidR="00457CF6">
        <w:t>rather than</w:t>
      </w:r>
      <w:r w:rsidRPr="003C445F">
        <w:t xml:space="preserve"> included in the Grant Proposal</w:t>
      </w:r>
      <w:r w:rsidR="00691E2E">
        <w:t xml:space="preserve"> PDF document</w:t>
      </w:r>
      <w:r w:rsidRPr="003C445F">
        <w:t>.</w:t>
      </w:r>
    </w:p>
    <w:p w14:paraId="1E0A6005" w14:textId="77777777" w:rsidR="00E20F7E" w:rsidRDefault="00E20F7E" w:rsidP="00F1103B">
      <w:pPr>
        <w:tabs>
          <w:tab w:val="left" w:pos="6602"/>
        </w:tabs>
        <w:spacing w:after="0" w:line="240" w:lineRule="auto"/>
      </w:pPr>
    </w:p>
    <w:p w14:paraId="2F624CC8" w14:textId="46A8F185" w:rsidR="00467245" w:rsidRPr="009319B8" w:rsidRDefault="009132E1" w:rsidP="00467245">
      <w:pPr>
        <w:pStyle w:val="Heading3"/>
      </w:pPr>
      <w:r>
        <w:t xml:space="preserve">Impact of the </w:t>
      </w:r>
      <w:r w:rsidR="00467245" w:rsidRPr="009319B8">
        <w:t xml:space="preserve">COVID-19 Pandemic </w:t>
      </w:r>
    </w:p>
    <w:p w14:paraId="7699B0D8" w14:textId="0E683531" w:rsidR="00E9126D" w:rsidRDefault="00467245" w:rsidP="009132E1">
      <w:pPr>
        <w:tabs>
          <w:tab w:val="left" w:pos="6602"/>
        </w:tabs>
        <w:spacing w:after="0" w:line="240" w:lineRule="auto"/>
      </w:pPr>
      <w:r w:rsidRPr="00E20F7E">
        <w:t xml:space="preserve">NHMRC recognises the potential impacts of the COVID-19 pandemic on Australia’s health and medical research community. In response, NHMRC has provided additional guidance to applicants to clarify that circumstances associated with the pandemic and other calamities will be considered, where applicable, as part of their application. </w:t>
      </w:r>
      <w:r w:rsidR="00691E2E">
        <w:t>A</w:t>
      </w:r>
      <w:r w:rsidR="00691E2E" w:rsidRPr="009319B8">
        <w:t xml:space="preserve">pplicants are able to describe the impacts of </w:t>
      </w:r>
      <w:r w:rsidR="00691E2E" w:rsidRPr="00E20F7E">
        <w:t xml:space="preserve">COVID-19 </w:t>
      </w:r>
      <w:r w:rsidR="00691E2E" w:rsidRPr="009319B8">
        <w:t>on their research, and if appropriate, can address expected future impacts as part of their risk management strategy within their grant proposal</w:t>
      </w:r>
      <w:r w:rsidR="00691E2E">
        <w:t xml:space="preserve">. </w:t>
      </w:r>
    </w:p>
    <w:p w14:paraId="6BF5EECC" w14:textId="77777777" w:rsidR="006C4C25" w:rsidRDefault="006C4C25" w:rsidP="009132E1">
      <w:pPr>
        <w:tabs>
          <w:tab w:val="left" w:pos="6602"/>
        </w:tabs>
        <w:spacing w:after="0" w:line="240" w:lineRule="auto"/>
      </w:pPr>
    </w:p>
    <w:p w14:paraId="48974741" w14:textId="068DDF4C" w:rsidR="00E9126D" w:rsidRDefault="000050E5" w:rsidP="00F1103B">
      <w:pPr>
        <w:pStyle w:val="Heading3"/>
      </w:pPr>
      <w:r>
        <w:t>Provision of pilot data</w:t>
      </w:r>
    </w:p>
    <w:p w14:paraId="69285C83" w14:textId="5652FBEB" w:rsidR="00467245" w:rsidRDefault="00467245" w:rsidP="009132E1">
      <w:pPr>
        <w:tabs>
          <w:tab w:val="left" w:pos="6602"/>
        </w:tabs>
        <w:spacing w:after="0" w:line="240" w:lineRule="auto"/>
      </w:pPr>
      <w:r w:rsidRPr="00E20F7E">
        <w:t>For Ideas Grant applications, NHMRC recognises that, as a result of the COVID-19 pandemic, many applicants who would have otherwise obtained pilot data to support their grant proposal have not been able to do so. While pilot data are not (and have never been) a requirement for Ideas Grant applications, wording has been included to clarify that, particularly in the context of COVID-19, the presentation of pilot data is not a requirement for Ideas Grant applications.</w:t>
      </w:r>
    </w:p>
    <w:p w14:paraId="49E4CBD4" w14:textId="4ECD55DE" w:rsidR="00467245" w:rsidRPr="009319B8" w:rsidRDefault="00467245" w:rsidP="009132E1">
      <w:pPr>
        <w:tabs>
          <w:tab w:val="left" w:pos="6602"/>
        </w:tabs>
        <w:spacing w:after="0" w:line="240" w:lineRule="auto"/>
      </w:pPr>
    </w:p>
    <w:p w14:paraId="0F125BB0" w14:textId="77777777" w:rsidR="007801D5" w:rsidRPr="000F1AB8" w:rsidRDefault="007801D5" w:rsidP="007801D5">
      <w:pPr>
        <w:pBdr>
          <w:bottom w:val="single" w:sz="12" w:space="1" w:color="auto"/>
        </w:pBdr>
      </w:pPr>
    </w:p>
    <w:p w14:paraId="4E54276F" w14:textId="77777777" w:rsidR="00E721B0" w:rsidRPr="00E20F7E" w:rsidRDefault="00E721B0" w:rsidP="00093CCC">
      <w:pPr>
        <w:spacing w:after="0" w:line="240" w:lineRule="auto"/>
        <w:rPr>
          <w:b/>
          <w:sz w:val="24"/>
          <w:szCs w:val="24"/>
        </w:rPr>
      </w:pPr>
    </w:p>
    <w:p w14:paraId="0D79A585" w14:textId="77777777" w:rsidR="00811FCA" w:rsidRPr="00811FCA" w:rsidRDefault="00811FCA" w:rsidP="008917CA">
      <w:pPr>
        <w:pStyle w:val="Heading2"/>
      </w:pPr>
      <w:r>
        <w:t>PEER REVIEW</w:t>
      </w:r>
    </w:p>
    <w:p w14:paraId="64D5AA22" w14:textId="35A7CE63" w:rsidR="0009687A" w:rsidRPr="002946D8" w:rsidRDefault="0009687A" w:rsidP="00CD1D8E">
      <w:pPr>
        <w:pStyle w:val="NormalWeb"/>
        <w:shd w:val="clear" w:color="auto" w:fill="FFFFFF"/>
        <w:spacing w:after="240" w:line="330" w:lineRule="atLeast"/>
        <w:rPr>
          <w:rFonts w:asciiTheme="minorHAnsi" w:hAnsiTheme="minorHAnsi" w:cstheme="minorBidi"/>
          <w:sz w:val="22"/>
          <w:szCs w:val="22"/>
        </w:rPr>
      </w:pPr>
      <w:r w:rsidRPr="002946D8">
        <w:rPr>
          <w:rFonts w:asciiTheme="minorHAnsi" w:hAnsiTheme="minorHAnsi" w:cstheme="minorBidi"/>
          <w:sz w:val="22"/>
          <w:szCs w:val="22"/>
        </w:rPr>
        <w:t>For peer review of 2021 Ideas Grants:</w:t>
      </w:r>
    </w:p>
    <w:p w14:paraId="2DC2C95A" w14:textId="3CD224AC" w:rsidR="0009687A" w:rsidRPr="002946D8" w:rsidRDefault="0009687A" w:rsidP="002946D8">
      <w:pPr>
        <w:pStyle w:val="ListParagraph"/>
        <w:numPr>
          <w:ilvl w:val="0"/>
          <w:numId w:val="15"/>
        </w:numPr>
        <w:spacing w:after="0" w:line="240" w:lineRule="auto"/>
      </w:pPr>
      <w:r w:rsidRPr="002946D8">
        <w:t>NHMRC will seek five independent assessments for each application</w:t>
      </w:r>
    </w:p>
    <w:p w14:paraId="24B3432F" w14:textId="77777777" w:rsidR="0009687A" w:rsidRPr="002946D8" w:rsidRDefault="0009687A" w:rsidP="002946D8">
      <w:pPr>
        <w:pStyle w:val="ListParagraph"/>
        <w:numPr>
          <w:ilvl w:val="0"/>
          <w:numId w:val="15"/>
        </w:numPr>
        <w:spacing w:after="0" w:line="240" w:lineRule="auto"/>
      </w:pPr>
      <w:r w:rsidRPr="002946D8">
        <w:t>Reviewers will provide scores and written feedback against each assessment criterion</w:t>
      </w:r>
    </w:p>
    <w:p w14:paraId="0C25327A" w14:textId="77777777" w:rsidR="0009687A" w:rsidRPr="002946D8" w:rsidRDefault="0009687A" w:rsidP="002946D8">
      <w:pPr>
        <w:pStyle w:val="ListParagraph"/>
        <w:numPr>
          <w:ilvl w:val="0"/>
          <w:numId w:val="15"/>
        </w:numPr>
        <w:spacing w:after="0" w:line="240" w:lineRule="auto"/>
      </w:pPr>
      <w:r w:rsidRPr="002946D8">
        <w:t>Grant Review Panel (GRP) meetings will not be held</w:t>
      </w:r>
    </w:p>
    <w:p w14:paraId="0A0E21FA" w14:textId="1371410F" w:rsidR="0009687A" w:rsidRDefault="0009687A" w:rsidP="002946D8">
      <w:pPr>
        <w:pStyle w:val="ListParagraph"/>
        <w:numPr>
          <w:ilvl w:val="0"/>
          <w:numId w:val="15"/>
        </w:numPr>
        <w:spacing w:after="0" w:line="240" w:lineRule="auto"/>
      </w:pPr>
      <w:r w:rsidRPr="002946D8">
        <w:t>Peer reviewer training will be enhanced.</w:t>
      </w:r>
    </w:p>
    <w:p w14:paraId="65E6721D" w14:textId="77777777" w:rsidR="00457CF6" w:rsidRDefault="00457CF6" w:rsidP="002946D8">
      <w:pPr>
        <w:spacing w:after="0" w:line="240" w:lineRule="auto"/>
      </w:pPr>
    </w:p>
    <w:p w14:paraId="7AD99877" w14:textId="7237E8AF" w:rsidR="0084302D" w:rsidRPr="002946D8" w:rsidRDefault="00457CF6" w:rsidP="002946D8">
      <w:pPr>
        <w:spacing w:after="0" w:line="240" w:lineRule="auto"/>
      </w:pPr>
      <w:r>
        <w:t xml:space="preserve">More information on the key changes to 2021 Ideas Grants Peer Review process can be found in the </w:t>
      </w:r>
      <w:hyperlink r:id="rId10" w:history="1">
        <w:r w:rsidRPr="0009687A">
          <w:rPr>
            <w:rStyle w:val="Hyperlink"/>
          </w:rPr>
          <w:t>CEO communique</w:t>
        </w:r>
      </w:hyperlink>
      <w:r>
        <w:t xml:space="preserve"> from 25</w:t>
      </w:r>
      <w:r w:rsidRPr="0009687A">
        <w:rPr>
          <w:vertAlign w:val="superscript"/>
        </w:rPr>
        <w:t>th</w:t>
      </w:r>
      <w:r>
        <w:t xml:space="preserve"> February 2021.</w:t>
      </w:r>
    </w:p>
    <w:p w14:paraId="5B3A3B60" w14:textId="77777777" w:rsidR="0009687A" w:rsidRPr="002946D8" w:rsidRDefault="0009687A" w:rsidP="0009687A">
      <w:pPr>
        <w:shd w:val="clear" w:color="auto" w:fill="FFFFFF"/>
        <w:spacing w:after="240" w:line="330" w:lineRule="atLeast"/>
      </w:pPr>
      <w:r w:rsidRPr="002946D8">
        <w:lastRenderedPageBreak/>
        <w:t>This communique presents the background and rationale for these changes, in particular:</w:t>
      </w:r>
    </w:p>
    <w:p w14:paraId="6404BD9F" w14:textId="77777777" w:rsidR="0009687A" w:rsidRPr="002946D8" w:rsidRDefault="0009687A" w:rsidP="002946D8">
      <w:pPr>
        <w:pStyle w:val="ListParagraph"/>
        <w:numPr>
          <w:ilvl w:val="0"/>
          <w:numId w:val="16"/>
        </w:numPr>
        <w:spacing w:after="0" w:line="240" w:lineRule="auto"/>
      </w:pPr>
      <w:r w:rsidRPr="002946D8">
        <w:t>Not holding GRP meetings will allow optimal matching of peer reviewers to each application, improving the quality of assessment</w:t>
      </w:r>
    </w:p>
    <w:p w14:paraId="24EB5E3F" w14:textId="77777777" w:rsidR="0009687A" w:rsidRPr="002946D8" w:rsidRDefault="0009687A" w:rsidP="002946D8">
      <w:pPr>
        <w:pStyle w:val="ListParagraph"/>
        <w:numPr>
          <w:ilvl w:val="0"/>
          <w:numId w:val="16"/>
        </w:numPr>
        <w:spacing w:after="0" w:line="240" w:lineRule="auto"/>
      </w:pPr>
      <w:r w:rsidRPr="002946D8">
        <w:t>Streamlining the peer review process will reduce the workload on individual reviewers, enable a broader range of reviewers to participate and shorten the time needed for peer review</w:t>
      </w:r>
    </w:p>
    <w:p w14:paraId="748B566C" w14:textId="5BAADC12" w:rsidR="0009687A" w:rsidRDefault="0009687A" w:rsidP="002946D8">
      <w:pPr>
        <w:pStyle w:val="ListParagraph"/>
        <w:numPr>
          <w:ilvl w:val="0"/>
          <w:numId w:val="16"/>
        </w:numPr>
        <w:spacing w:after="0" w:line="240" w:lineRule="auto"/>
      </w:pPr>
      <w:r w:rsidRPr="002946D8">
        <w:t>These changes will lay the groundwork for new and more flexible approaches to peer review of NHMRC’s major schemes over time, such as multiple cycles per year.</w:t>
      </w:r>
    </w:p>
    <w:p w14:paraId="44C97C20" w14:textId="77777777" w:rsidR="00CD1D8E" w:rsidRPr="002946D8" w:rsidRDefault="00CD1D8E" w:rsidP="002946D8">
      <w:pPr>
        <w:pStyle w:val="ListParagraph"/>
        <w:spacing w:after="0" w:line="240" w:lineRule="auto"/>
      </w:pPr>
    </w:p>
    <w:p w14:paraId="4B0BB541" w14:textId="78395EB8" w:rsidR="00307221" w:rsidRPr="00307221" w:rsidRDefault="00307221" w:rsidP="008917CA"/>
    <w:p w14:paraId="1B356AF6" w14:textId="77777777" w:rsidR="007801D5" w:rsidRPr="00294536" w:rsidRDefault="00307221" w:rsidP="007801D5">
      <w:pPr>
        <w:pStyle w:val="Heading2"/>
      </w:pPr>
      <w:r w:rsidRPr="008917CA">
        <w:rPr>
          <w:rStyle w:val="Heading3Char"/>
        </w:rPr>
        <w:t xml:space="preserve">Increase in number of </w:t>
      </w:r>
      <w:r w:rsidR="006B2052">
        <w:rPr>
          <w:rStyle w:val="Heading3Char"/>
        </w:rPr>
        <w:t xml:space="preserve">independent </w:t>
      </w:r>
      <w:r w:rsidRPr="008917CA">
        <w:rPr>
          <w:rStyle w:val="Heading3Char"/>
        </w:rPr>
        <w:t>assessors</w:t>
      </w:r>
      <w:r>
        <w:t xml:space="preserve"> </w:t>
      </w:r>
    </w:p>
    <w:p w14:paraId="6B552BDE" w14:textId="08F5B1FA" w:rsidR="007801D5" w:rsidRDefault="0083759C" w:rsidP="007801D5">
      <w:pPr>
        <w:spacing w:after="0" w:line="240" w:lineRule="auto"/>
      </w:pPr>
      <w:r>
        <w:t xml:space="preserve">In addition to using </w:t>
      </w:r>
      <w:r w:rsidR="007801D5" w:rsidRPr="00AE38F1">
        <w:t xml:space="preserve">an </w:t>
      </w:r>
      <w:r w:rsidR="007801D5">
        <w:t>“a</w:t>
      </w:r>
      <w:r w:rsidR="007801D5" w:rsidRPr="00AE38F1">
        <w:t>pplication-centric</w:t>
      </w:r>
      <w:r w:rsidR="007801D5">
        <w:t>”</w:t>
      </w:r>
      <w:r w:rsidR="007801D5" w:rsidRPr="00AE38F1">
        <w:t xml:space="preserve"> </w:t>
      </w:r>
      <w:r w:rsidR="00691E2E">
        <w:t>approach to matching reviewers to applications for peer review</w:t>
      </w:r>
      <w:r>
        <w:t>, NHMRC is increasing the number of assessors allocated to e</w:t>
      </w:r>
      <w:r w:rsidR="007801D5" w:rsidRPr="00AE38F1">
        <w:t xml:space="preserve">ach </w:t>
      </w:r>
      <w:r>
        <w:t xml:space="preserve">Ideas Grant </w:t>
      </w:r>
      <w:r w:rsidR="007801D5" w:rsidRPr="00AE38F1">
        <w:t>application</w:t>
      </w:r>
      <w:r>
        <w:t>. In previous years, applications received up to four independent assessments.</w:t>
      </w:r>
      <w:r w:rsidR="007801D5" w:rsidRPr="00AE38F1">
        <w:t xml:space="preserve"> </w:t>
      </w:r>
      <w:r>
        <w:t>I</w:t>
      </w:r>
      <w:r w:rsidR="00307221">
        <w:t>n the 2021 round</w:t>
      </w:r>
      <w:r>
        <w:t>, we are increasing this number so that applications</w:t>
      </w:r>
      <w:r w:rsidR="00307221">
        <w:t xml:space="preserve"> </w:t>
      </w:r>
      <w:r w:rsidR="007801D5" w:rsidRPr="00AE38F1">
        <w:t xml:space="preserve">will be allocated to the </w:t>
      </w:r>
      <w:r w:rsidR="007801D5" w:rsidRPr="007801D5">
        <w:rPr>
          <w:b/>
        </w:rPr>
        <w:t>five</w:t>
      </w:r>
      <w:r w:rsidR="007801D5" w:rsidRPr="00AE38F1">
        <w:t xml:space="preserve"> ‘best fit’ independent peer reviewers based on </w:t>
      </w:r>
      <w:r w:rsidR="007801D5">
        <w:t xml:space="preserve">their </w:t>
      </w:r>
      <w:r w:rsidR="007801D5" w:rsidRPr="00AE38F1">
        <w:t xml:space="preserve">conflict of interest and suitability declarations. </w:t>
      </w:r>
    </w:p>
    <w:p w14:paraId="3D80CEF2" w14:textId="77777777" w:rsidR="006B2052" w:rsidRDefault="006B2052" w:rsidP="008917CA">
      <w:pPr>
        <w:pStyle w:val="Heading3"/>
      </w:pPr>
    </w:p>
    <w:p w14:paraId="118FF7F4" w14:textId="77777777" w:rsidR="007801D5" w:rsidRDefault="0083759C" w:rsidP="008917CA">
      <w:pPr>
        <w:pStyle w:val="Heading3"/>
      </w:pPr>
      <w:r>
        <w:t>Assessors will provide written comments</w:t>
      </w:r>
    </w:p>
    <w:p w14:paraId="0739609E" w14:textId="2CA078A9" w:rsidR="008A47C2" w:rsidRDefault="0083759C" w:rsidP="007801D5">
      <w:pPr>
        <w:spacing w:after="0" w:line="240" w:lineRule="auto"/>
      </w:pPr>
      <w:r>
        <w:t xml:space="preserve">In previous Ideas Grants funding rounds, assessors have only provided numerical scores, and applicants have not received </w:t>
      </w:r>
      <w:r w:rsidR="00691E2E">
        <w:t xml:space="preserve">written </w:t>
      </w:r>
      <w:r>
        <w:t xml:space="preserve">feedback. </w:t>
      </w:r>
      <w:r w:rsidR="007801D5">
        <w:t>In 2021, each peer reviewer will be asked to provide</w:t>
      </w:r>
      <w:r>
        <w:t xml:space="preserve"> numerical scores as well as</w:t>
      </w:r>
      <w:r w:rsidR="007801D5">
        <w:t xml:space="preserve"> </w:t>
      </w:r>
      <w:r w:rsidR="007801D5" w:rsidRPr="008917CA">
        <w:rPr>
          <w:b/>
        </w:rPr>
        <w:t>written</w:t>
      </w:r>
      <w:r w:rsidR="007801D5" w:rsidRPr="007676FA">
        <w:t xml:space="preserve"> </w:t>
      </w:r>
      <w:r w:rsidR="007801D5" w:rsidRPr="00260B3E">
        <w:rPr>
          <w:b/>
        </w:rPr>
        <w:t>comments</w:t>
      </w:r>
      <w:r w:rsidR="007801D5">
        <w:t xml:space="preserve"> against each criterion t</w:t>
      </w:r>
      <w:r w:rsidR="007801D5" w:rsidRPr="00242D27">
        <w:t>o justify their scores.</w:t>
      </w:r>
      <w:r w:rsidR="007801D5">
        <w:t xml:space="preserve"> </w:t>
      </w:r>
      <w:r w:rsidR="00C06913">
        <w:t>P</w:t>
      </w:r>
      <w:r w:rsidR="00C06913" w:rsidRPr="00C06913">
        <w:t>eer re</w:t>
      </w:r>
      <w:r w:rsidR="00C06913">
        <w:t>viewer training will be enhanced</w:t>
      </w:r>
      <w:r w:rsidR="00C06913" w:rsidRPr="00C06913">
        <w:t xml:space="preserve"> – NHMRC is currently seeking feedback from 2020 reviewers on preferred mechanisms to provide improved training (e.g. webinar, video)</w:t>
      </w:r>
      <w:r w:rsidR="001C3DE6">
        <w:t>.</w:t>
      </w:r>
      <w:r w:rsidR="00580BE6" w:rsidRPr="00580BE6">
        <w:t xml:space="preserve"> </w:t>
      </w:r>
    </w:p>
    <w:p w14:paraId="2341C16A" w14:textId="77777777" w:rsidR="00DE7DC9" w:rsidRDefault="00DE7DC9" w:rsidP="007801D5">
      <w:pPr>
        <w:spacing w:after="0" w:line="240" w:lineRule="auto"/>
      </w:pPr>
    </w:p>
    <w:p w14:paraId="5DAB0BFD" w14:textId="3499F43E" w:rsidR="00580BE6" w:rsidRDefault="00580BE6" w:rsidP="007801D5">
      <w:pPr>
        <w:spacing w:after="0" w:line="240" w:lineRule="auto"/>
      </w:pPr>
      <w:r w:rsidRPr="00580BE6">
        <w:t>Peer Review Mentors will be appointed in 2021 to replace the role of Chairs. Mentors will assist with peer reviewer training prior to commencement of assessments and will be available to provide one-on-one mentoring to peer reviewers during the assessment phase. Like the role of previous Chairs, Mentor advice will focus primarily on effective peer review process. They will not discuss matters relating to the scientific (or other) merits of specific applications.</w:t>
      </w:r>
    </w:p>
    <w:p w14:paraId="113BB8DB" w14:textId="77777777" w:rsidR="00DE7DC9" w:rsidRDefault="00DE7DC9" w:rsidP="007801D5">
      <w:pPr>
        <w:spacing w:after="0" w:line="240" w:lineRule="auto"/>
      </w:pPr>
    </w:p>
    <w:p w14:paraId="5B27FD8B" w14:textId="285ED07C" w:rsidR="007801D5" w:rsidRDefault="00691E2E" w:rsidP="007801D5">
      <w:pPr>
        <w:spacing w:after="0" w:line="240" w:lineRule="auto"/>
      </w:pPr>
      <w:r>
        <w:t>A</w:t>
      </w:r>
      <w:r w:rsidR="0083759C">
        <w:t>pplicants</w:t>
      </w:r>
      <w:r w:rsidR="007801D5">
        <w:t xml:space="preserve"> will be provided with </w:t>
      </w:r>
      <w:r w:rsidR="0083759C">
        <w:t>mean</w:t>
      </w:r>
      <w:r w:rsidR="007801D5">
        <w:t xml:space="preserve"> </w:t>
      </w:r>
      <w:r w:rsidR="0083759C">
        <w:t xml:space="preserve">scores for each criterion, written </w:t>
      </w:r>
      <w:r w:rsidR="007801D5">
        <w:t>comments</w:t>
      </w:r>
      <w:r w:rsidR="0083759C">
        <w:t xml:space="preserve"> and </w:t>
      </w:r>
      <w:r>
        <w:t xml:space="preserve">overarching </w:t>
      </w:r>
      <w:r w:rsidR="0083759C">
        <w:t>benchmarking data</w:t>
      </w:r>
      <w:r w:rsidR="00D3398E">
        <w:t xml:space="preserve"> (as provided in 2019 and 2020). </w:t>
      </w:r>
    </w:p>
    <w:p w14:paraId="2836964A" w14:textId="77777777" w:rsidR="007801D5" w:rsidRDefault="007801D5" w:rsidP="007801D5">
      <w:pPr>
        <w:spacing w:after="0" w:line="240" w:lineRule="auto"/>
      </w:pPr>
    </w:p>
    <w:p w14:paraId="79E4D035" w14:textId="7A033B19" w:rsidR="00242D27" w:rsidRDefault="00242D27">
      <w:pPr>
        <w:rPr>
          <w:b/>
          <w:sz w:val="28"/>
          <w:szCs w:val="28"/>
        </w:rPr>
      </w:pPr>
    </w:p>
    <w:p w14:paraId="5A1484E7" w14:textId="77777777" w:rsidR="00242D27" w:rsidRPr="00811FCA" w:rsidRDefault="00242D27" w:rsidP="008917CA">
      <w:pPr>
        <w:pStyle w:val="Heading2"/>
      </w:pPr>
      <w:r>
        <w:t>ADDITIONAL RESOURCES</w:t>
      </w:r>
    </w:p>
    <w:p w14:paraId="603B714D" w14:textId="77777777" w:rsidR="00242D27" w:rsidRDefault="00242D27" w:rsidP="00242D27">
      <w:r>
        <w:t>This factsheet should be read in conjunction with the following documents</w:t>
      </w:r>
      <w:r w:rsidR="00926BEB">
        <w:t>,</w:t>
      </w:r>
      <w:r>
        <w:t xml:space="preserve"> </w:t>
      </w:r>
      <w:r w:rsidR="00926BEB">
        <w:t xml:space="preserve">which </w:t>
      </w:r>
      <w:r>
        <w:t>will be made available when the round opens:</w:t>
      </w:r>
    </w:p>
    <w:p w14:paraId="63767994" w14:textId="79417BF7" w:rsidR="00242D27" w:rsidRDefault="00242D27" w:rsidP="002946D8">
      <w:pPr>
        <w:pStyle w:val="ListParagraph"/>
        <w:numPr>
          <w:ilvl w:val="0"/>
          <w:numId w:val="16"/>
        </w:numPr>
        <w:spacing w:after="0" w:line="240" w:lineRule="auto"/>
      </w:pPr>
      <w:r>
        <w:t xml:space="preserve">Ideas Grants 2021 Grant Guidelines </w:t>
      </w:r>
    </w:p>
    <w:p w14:paraId="5322FE1A" w14:textId="603DA5E5" w:rsidR="00242D27" w:rsidRDefault="00242D27" w:rsidP="002946D8">
      <w:pPr>
        <w:pStyle w:val="ListParagraph"/>
        <w:numPr>
          <w:ilvl w:val="0"/>
          <w:numId w:val="16"/>
        </w:numPr>
        <w:spacing w:after="0" w:line="240" w:lineRule="auto"/>
      </w:pPr>
      <w:r>
        <w:t>Ideas</w:t>
      </w:r>
      <w:r w:rsidRPr="006932E8">
        <w:t xml:space="preserve"> Grants 2021 Peer Review Guidelines</w:t>
      </w:r>
      <w:r>
        <w:t xml:space="preserve"> </w:t>
      </w:r>
    </w:p>
    <w:p w14:paraId="3C521AC7" w14:textId="450B7AD1" w:rsidR="00FF2825" w:rsidRPr="009132E1" w:rsidRDefault="00242D27" w:rsidP="002946D8">
      <w:pPr>
        <w:pStyle w:val="ListParagraph"/>
        <w:numPr>
          <w:ilvl w:val="0"/>
          <w:numId w:val="16"/>
        </w:numPr>
        <w:spacing w:after="0" w:line="240" w:lineRule="auto"/>
        <w:rPr>
          <w:rFonts w:cstheme="minorHAnsi"/>
        </w:rPr>
      </w:pPr>
      <w:r>
        <w:t xml:space="preserve">Key Characteristics of Ideas Grant Applications </w:t>
      </w:r>
      <w:bookmarkStart w:id="0" w:name="_GoBack"/>
      <w:bookmarkEnd w:id="0"/>
    </w:p>
    <w:sectPr w:rsidR="00FF2825" w:rsidRPr="009132E1" w:rsidSect="00093CCC">
      <w:headerReference w:type="default" r:id="rId11"/>
      <w:footerReference w:type="default" r:id="rId12"/>
      <w:pgSz w:w="11906" w:h="16838"/>
      <w:pgMar w:top="2520" w:right="1440" w:bottom="1440" w:left="144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75F19" w14:textId="77777777" w:rsidR="00FF0E6E" w:rsidRDefault="00FF0E6E" w:rsidP="00393D5B">
      <w:pPr>
        <w:spacing w:after="0" w:line="240" w:lineRule="auto"/>
      </w:pPr>
      <w:r>
        <w:separator/>
      </w:r>
    </w:p>
  </w:endnote>
  <w:endnote w:type="continuationSeparator" w:id="0">
    <w:p w14:paraId="3BB627BC" w14:textId="77777777" w:rsidR="00FF0E6E" w:rsidRDefault="00FF0E6E" w:rsidP="0039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5262" w14:textId="716223E4" w:rsidR="0083759C" w:rsidRDefault="0083759C" w:rsidP="00D57396">
    <w:pPr>
      <w:pStyle w:val="Footer"/>
    </w:pPr>
    <w:r>
      <w:rPr>
        <w:noProof/>
        <w:lang w:eastAsia="en-AU"/>
      </w:rPr>
      <w:drawing>
        <wp:anchor distT="0" distB="0" distL="114300" distR="114300" simplePos="0" relativeHeight="251663360" behindDoc="0" locked="0" layoutInCell="1" allowOverlap="1" wp14:anchorId="186ED610" wp14:editId="6F16D483">
          <wp:simplePos x="0" y="0"/>
          <wp:positionH relativeFrom="page">
            <wp:posOffset>5973776</wp:posOffset>
          </wp:positionH>
          <wp:positionV relativeFrom="bottomMargin">
            <wp:posOffset>182245</wp:posOffset>
          </wp:positionV>
          <wp:extent cx="617855" cy="380365"/>
          <wp:effectExtent l="0" t="0" r="0" b="635"/>
          <wp:wrapNone/>
          <wp:docPr id="3" name="Picture 3" descr="National Health and Medical Research Council&#10;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H-Footer.png"/>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A2124A">
      <w:rPr>
        <w:noProof/>
      </w:rPr>
      <w:t>3</w:t>
    </w:r>
    <w:r>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6EFF3" w14:textId="77777777" w:rsidR="00FF0E6E" w:rsidRDefault="00FF0E6E" w:rsidP="00393D5B">
      <w:pPr>
        <w:spacing w:after="0" w:line="240" w:lineRule="auto"/>
      </w:pPr>
      <w:r>
        <w:separator/>
      </w:r>
    </w:p>
  </w:footnote>
  <w:footnote w:type="continuationSeparator" w:id="0">
    <w:p w14:paraId="39C43EA8" w14:textId="77777777" w:rsidR="00FF0E6E" w:rsidRDefault="00FF0E6E" w:rsidP="00393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87BE" w14:textId="77777777" w:rsidR="0083759C" w:rsidRDefault="0083759C" w:rsidP="0079150F">
    <w:pPr>
      <w:pStyle w:val="SecurityDLM"/>
    </w:pPr>
    <w:r>
      <w:rPr>
        <w:noProof/>
      </w:rPr>
      <w:drawing>
        <wp:anchor distT="0" distB="0" distL="114300" distR="114300" simplePos="0" relativeHeight="251659264" behindDoc="0" locked="0" layoutInCell="1" allowOverlap="1" wp14:anchorId="0E46FA15" wp14:editId="53F4A93B">
          <wp:simplePos x="0" y="0"/>
          <wp:positionH relativeFrom="margin">
            <wp:posOffset>0</wp:posOffset>
          </wp:positionH>
          <wp:positionV relativeFrom="paragraph">
            <wp:posOffset>-118717</wp:posOffset>
          </wp:positionV>
          <wp:extent cx="3282950" cy="756920"/>
          <wp:effectExtent l="0" t="0" r="0" b="5080"/>
          <wp:wrapNone/>
          <wp:docPr id="1" name="Picture 1"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Gov-NHMRC-LH-Logo2.png"/>
                  <pic:cNvPicPr/>
                </pic:nvPicPr>
                <pic:blipFill>
                  <a:blip r:embed="rId1">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anchor>
      </w:drawing>
    </w:r>
    <w:r>
      <w:rPr>
        <w:noProof/>
      </w:rPr>
      <w:drawing>
        <wp:anchor distT="0" distB="0" distL="114300" distR="114300" simplePos="0" relativeHeight="251661312" behindDoc="0" locked="0" layoutInCell="1" allowOverlap="1" wp14:anchorId="6C0D1FB6" wp14:editId="4E867CCE">
          <wp:simplePos x="0" y="0"/>
          <wp:positionH relativeFrom="margin">
            <wp:posOffset>4969510</wp:posOffset>
          </wp:positionH>
          <wp:positionV relativeFrom="page">
            <wp:posOffset>420094</wp:posOffset>
          </wp:positionV>
          <wp:extent cx="755640" cy="755640"/>
          <wp:effectExtent l="0" t="0" r="6985" b="6985"/>
          <wp:wrapNone/>
          <wp:docPr id="2" name="Picture 2"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MRC-LH-SQ-Logo-Blue.png"/>
                  <pic:cNvPicPr/>
                </pic:nvPicPr>
                <pic:blipFill>
                  <a:blip r:embed="rId2">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14:sizeRelH relativeFrom="margin">
            <wp14:pctWidth>0</wp14:pctWidth>
          </wp14:sizeRelH>
          <wp14:sizeRelV relativeFrom="margin">
            <wp14:pctHeight>0</wp14:pctHeight>
          </wp14:sizeRelV>
        </wp:anchor>
      </w:drawing>
    </w:r>
  </w:p>
  <w:p w14:paraId="75A655B1" w14:textId="77777777" w:rsidR="0083759C" w:rsidRDefault="0083759C" w:rsidP="00294536">
    <w:pPr>
      <w:pStyle w:val="SecurityDL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28D"/>
    <w:multiLevelType w:val="hybridMultilevel"/>
    <w:tmpl w:val="A6883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7F6AFB"/>
    <w:multiLevelType w:val="hybridMultilevel"/>
    <w:tmpl w:val="B70E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9443B"/>
    <w:multiLevelType w:val="multilevel"/>
    <w:tmpl w:val="A124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707AC"/>
    <w:multiLevelType w:val="hybridMultilevel"/>
    <w:tmpl w:val="BC442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E5E04D3"/>
    <w:multiLevelType w:val="hybridMultilevel"/>
    <w:tmpl w:val="826C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0463C"/>
    <w:multiLevelType w:val="hybridMultilevel"/>
    <w:tmpl w:val="70280C6A"/>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3D6477DA"/>
    <w:multiLevelType w:val="multilevel"/>
    <w:tmpl w:val="7972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3C352A"/>
    <w:multiLevelType w:val="hybridMultilevel"/>
    <w:tmpl w:val="218E8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D47463"/>
    <w:multiLevelType w:val="hybridMultilevel"/>
    <w:tmpl w:val="B05A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78393F"/>
    <w:multiLevelType w:val="hybridMultilevel"/>
    <w:tmpl w:val="C5A4B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BC0A7A"/>
    <w:multiLevelType w:val="hybridMultilevel"/>
    <w:tmpl w:val="2D06CB54"/>
    <w:lvl w:ilvl="0" w:tplc="B1EC2B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F358D4"/>
    <w:multiLevelType w:val="hybridMultilevel"/>
    <w:tmpl w:val="2C46D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166730"/>
    <w:multiLevelType w:val="hybridMultilevel"/>
    <w:tmpl w:val="1D8016FA"/>
    <w:lvl w:ilvl="0" w:tplc="E48EC4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637381"/>
    <w:multiLevelType w:val="hybridMultilevel"/>
    <w:tmpl w:val="E2649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B00797"/>
    <w:multiLevelType w:val="hybridMultilevel"/>
    <w:tmpl w:val="D88CF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15"/>
  </w:num>
  <w:num w:numId="5">
    <w:abstractNumId w:val="11"/>
  </w:num>
  <w:num w:numId="6">
    <w:abstractNumId w:val="14"/>
  </w:num>
  <w:num w:numId="7">
    <w:abstractNumId w:val="5"/>
  </w:num>
  <w:num w:numId="8">
    <w:abstractNumId w:val="1"/>
  </w:num>
  <w:num w:numId="9">
    <w:abstractNumId w:val="0"/>
  </w:num>
  <w:num w:numId="10">
    <w:abstractNumId w:val="3"/>
  </w:num>
  <w:num w:numId="11">
    <w:abstractNumId w:val="9"/>
  </w:num>
  <w:num w:numId="12">
    <w:abstractNumId w:val="4"/>
  </w:num>
  <w:num w:numId="13">
    <w:abstractNumId w:val="2"/>
  </w:num>
  <w:num w:numId="14">
    <w:abstractNumId w:val="7"/>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3B"/>
    <w:rsid w:val="000050E5"/>
    <w:rsid w:val="00012428"/>
    <w:rsid w:val="00022C85"/>
    <w:rsid w:val="00052559"/>
    <w:rsid w:val="000675F4"/>
    <w:rsid w:val="0007304D"/>
    <w:rsid w:val="00073597"/>
    <w:rsid w:val="00082EA2"/>
    <w:rsid w:val="00086DBF"/>
    <w:rsid w:val="00093CCC"/>
    <w:rsid w:val="0009687A"/>
    <w:rsid w:val="000A7DBE"/>
    <w:rsid w:val="000C21EC"/>
    <w:rsid w:val="000F1AB8"/>
    <w:rsid w:val="0018451C"/>
    <w:rsid w:val="001A152A"/>
    <w:rsid w:val="001C3DE6"/>
    <w:rsid w:val="001F23FD"/>
    <w:rsid w:val="00202248"/>
    <w:rsid w:val="00214DCD"/>
    <w:rsid w:val="00242D27"/>
    <w:rsid w:val="00260B3E"/>
    <w:rsid w:val="0026117F"/>
    <w:rsid w:val="00263B15"/>
    <w:rsid w:val="002867A5"/>
    <w:rsid w:val="00294536"/>
    <w:rsid w:val="002946D8"/>
    <w:rsid w:val="002953CC"/>
    <w:rsid w:val="0029780A"/>
    <w:rsid w:val="002B6D51"/>
    <w:rsid w:val="003015C5"/>
    <w:rsid w:val="00307221"/>
    <w:rsid w:val="00314E12"/>
    <w:rsid w:val="00316D33"/>
    <w:rsid w:val="00320369"/>
    <w:rsid w:val="00320B5D"/>
    <w:rsid w:val="00337CAD"/>
    <w:rsid w:val="00347E15"/>
    <w:rsid w:val="003528E0"/>
    <w:rsid w:val="0035322A"/>
    <w:rsid w:val="003720C8"/>
    <w:rsid w:val="00380FE6"/>
    <w:rsid w:val="00382727"/>
    <w:rsid w:val="00393D5B"/>
    <w:rsid w:val="00396700"/>
    <w:rsid w:val="003A2EAD"/>
    <w:rsid w:val="003A74E6"/>
    <w:rsid w:val="003B1498"/>
    <w:rsid w:val="003B360A"/>
    <w:rsid w:val="003D6D35"/>
    <w:rsid w:val="003F3D96"/>
    <w:rsid w:val="00403E01"/>
    <w:rsid w:val="00413DB3"/>
    <w:rsid w:val="00423195"/>
    <w:rsid w:val="004451D1"/>
    <w:rsid w:val="00455409"/>
    <w:rsid w:val="00457CF6"/>
    <w:rsid w:val="00464C99"/>
    <w:rsid w:val="00467245"/>
    <w:rsid w:val="00470E19"/>
    <w:rsid w:val="00474FCD"/>
    <w:rsid w:val="00486503"/>
    <w:rsid w:val="004A305E"/>
    <w:rsid w:val="004E717C"/>
    <w:rsid w:val="004F519F"/>
    <w:rsid w:val="00524539"/>
    <w:rsid w:val="00537A80"/>
    <w:rsid w:val="0054596A"/>
    <w:rsid w:val="00546CCA"/>
    <w:rsid w:val="0055533E"/>
    <w:rsid w:val="00580BE6"/>
    <w:rsid w:val="00586F34"/>
    <w:rsid w:val="005963B3"/>
    <w:rsid w:val="005C6EF2"/>
    <w:rsid w:val="005D5C5E"/>
    <w:rsid w:val="005E66DD"/>
    <w:rsid w:val="00600C96"/>
    <w:rsid w:val="00611E3D"/>
    <w:rsid w:val="0061487F"/>
    <w:rsid w:val="006149B5"/>
    <w:rsid w:val="00615509"/>
    <w:rsid w:val="0061570A"/>
    <w:rsid w:val="006177C3"/>
    <w:rsid w:val="00627D2A"/>
    <w:rsid w:val="006420B1"/>
    <w:rsid w:val="006568E5"/>
    <w:rsid w:val="006732A1"/>
    <w:rsid w:val="0067755B"/>
    <w:rsid w:val="0068196C"/>
    <w:rsid w:val="00691E2E"/>
    <w:rsid w:val="006932E8"/>
    <w:rsid w:val="006B2052"/>
    <w:rsid w:val="006C4C25"/>
    <w:rsid w:val="006D0E33"/>
    <w:rsid w:val="006E2BF0"/>
    <w:rsid w:val="006F19AF"/>
    <w:rsid w:val="00702192"/>
    <w:rsid w:val="00703B4D"/>
    <w:rsid w:val="00710314"/>
    <w:rsid w:val="00742326"/>
    <w:rsid w:val="00751AE1"/>
    <w:rsid w:val="007533A6"/>
    <w:rsid w:val="007575CA"/>
    <w:rsid w:val="007801D5"/>
    <w:rsid w:val="0079150F"/>
    <w:rsid w:val="007C5BF2"/>
    <w:rsid w:val="007C5EC0"/>
    <w:rsid w:val="007D1273"/>
    <w:rsid w:val="007E2711"/>
    <w:rsid w:val="00804AAD"/>
    <w:rsid w:val="00804AE8"/>
    <w:rsid w:val="00811FCA"/>
    <w:rsid w:val="00817D5F"/>
    <w:rsid w:val="00824C75"/>
    <w:rsid w:val="0083759C"/>
    <w:rsid w:val="00840AEF"/>
    <w:rsid w:val="0084302D"/>
    <w:rsid w:val="0085488A"/>
    <w:rsid w:val="00883FFB"/>
    <w:rsid w:val="00887C8D"/>
    <w:rsid w:val="008917CA"/>
    <w:rsid w:val="00895FE1"/>
    <w:rsid w:val="008A47C2"/>
    <w:rsid w:val="008B144E"/>
    <w:rsid w:val="008B273F"/>
    <w:rsid w:val="008D446C"/>
    <w:rsid w:val="008D7A9F"/>
    <w:rsid w:val="008F02FB"/>
    <w:rsid w:val="00904E32"/>
    <w:rsid w:val="009132E1"/>
    <w:rsid w:val="00926BEB"/>
    <w:rsid w:val="009319B8"/>
    <w:rsid w:val="00947DAC"/>
    <w:rsid w:val="009614B7"/>
    <w:rsid w:val="009678D0"/>
    <w:rsid w:val="009758E2"/>
    <w:rsid w:val="009766EC"/>
    <w:rsid w:val="00987B1D"/>
    <w:rsid w:val="00992703"/>
    <w:rsid w:val="009940BC"/>
    <w:rsid w:val="009A1205"/>
    <w:rsid w:val="009B2E4F"/>
    <w:rsid w:val="009C3792"/>
    <w:rsid w:val="009C7199"/>
    <w:rsid w:val="009D31A4"/>
    <w:rsid w:val="009E3AA1"/>
    <w:rsid w:val="009E4FA5"/>
    <w:rsid w:val="009E51D4"/>
    <w:rsid w:val="009F2604"/>
    <w:rsid w:val="009F56E8"/>
    <w:rsid w:val="009F6E24"/>
    <w:rsid w:val="00A02A83"/>
    <w:rsid w:val="00A0530F"/>
    <w:rsid w:val="00A07167"/>
    <w:rsid w:val="00A12AF8"/>
    <w:rsid w:val="00A2124A"/>
    <w:rsid w:val="00A6560A"/>
    <w:rsid w:val="00A801F3"/>
    <w:rsid w:val="00A846F6"/>
    <w:rsid w:val="00AC40F6"/>
    <w:rsid w:val="00AE38F1"/>
    <w:rsid w:val="00AE637D"/>
    <w:rsid w:val="00B135FA"/>
    <w:rsid w:val="00B14245"/>
    <w:rsid w:val="00B15EFB"/>
    <w:rsid w:val="00B346F0"/>
    <w:rsid w:val="00B47F2D"/>
    <w:rsid w:val="00B51434"/>
    <w:rsid w:val="00B84C07"/>
    <w:rsid w:val="00B87D48"/>
    <w:rsid w:val="00BB34B1"/>
    <w:rsid w:val="00BD280A"/>
    <w:rsid w:val="00BE26A2"/>
    <w:rsid w:val="00C0078A"/>
    <w:rsid w:val="00C06913"/>
    <w:rsid w:val="00C26AAB"/>
    <w:rsid w:val="00C479C6"/>
    <w:rsid w:val="00C57604"/>
    <w:rsid w:val="00C61530"/>
    <w:rsid w:val="00C67384"/>
    <w:rsid w:val="00CB5B0B"/>
    <w:rsid w:val="00CD1D8E"/>
    <w:rsid w:val="00CF4159"/>
    <w:rsid w:val="00D169B3"/>
    <w:rsid w:val="00D17BDB"/>
    <w:rsid w:val="00D228C2"/>
    <w:rsid w:val="00D30B45"/>
    <w:rsid w:val="00D3398E"/>
    <w:rsid w:val="00D36B70"/>
    <w:rsid w:val="00D45380"/>
    <w:rsid w:val="00D57396"/>
    <w:rsid w:val="00D83325"/>
    <w:rsid w:val="00DB070D"/>
    <w:rsid w:val="00DC1BD8"/>
    <w:rsid w:val="00DE7DC9"/>
    <w:rsid w:val="00DF246D"/>
    <w:rsid w:val="00E14CDA"/>
    <w:rsid w:val="00E20F7E"/>
    <w:rsid w:val="00E23E75"/>
    <w:rsid w:val="00E35C19"/>
    <w:rsid w:val="00E4600A"/>
    <w:rsid w:val="00E57A5F"/>
    <w:rsid w:val="00E6322A"/>
    <w:rsid w:val="00E65BB8"/>
    <w:rsid w:val="00E721B0"/>
    <w:rsid w:val="00E77466"/>
    <w:rsid w:val="00E857D8"/>
    <w:rsid w:val="00E87EAB"/>
    <w:rsid w:val="00E9126D"/>
    <w:rsid w:val="00E949E6"/>
    <w:rsid w:val="00EA130B"/>
    <w:rsid w:val="00EA6F24"/>
    <w:rsid w:val="00EB552D"/>
    <w:rsid w:val="00ED6D1D"/>
    <w:rsid w:val="00EE2A4C"/>
    <w:rsid w:val="00EE3D59"/>
    <w:rsid w:val="00EE4060"/>
    <w:rsid w:val="00EF4A3B"/>
    <w:rsid w:val="00F017A0"/>
    <w:rsid w:val="00F1103B"/>
    <w:rsid w:val="00F1255D"/>
    <w:rsid w:val="00F22383"/>
    <w:rsid w:val="00F31F8A"/>
    <w:rsid w:val="00F37898"/>
    <w:rsid w:val="00F53040"/>
    <w:rsid w:val="00F556D3"/>
    <w:rsid w:val="00F71E9F"/>
    <w:rsid w:val="00F76B72"/>
    <w:rsid w:val="00FB1C61"/>
    <w:rsid w:val="00FC1D66"/>
    <w:rsid w:val="00FD6798"/>
    <w:rsid w:val="00FF0E6E"/>
    <w:rsid w:val="00FF282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ECFF9F"/>
  <w15:chartTrackingRefBased/>
  <w15:docId w15:val="{818ED1EE-84B0-4628-8105-A5E7EC87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CCC"/>
  </w:style>
  <w:style w:type="paragraph" w:styleId="Heading1">
    <w:name w:val="heading 1"/>
    <w:basedOn w:val="Normal"/>
    <w:next w:val="Normal"/>
    <w:link w:val="Heading1Char"/>
    <w:uiPriority w:val="9"/>
    <w:qFormat/>
    <w:rsid w:val="00926B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6B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6B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List Paragraph1,List Paragraph11,List Paragraph2,Recommendation,Bulleted Para,NFP GP Bulleted List,FooterText,numbered,Paragraphe de liste1,Bulletr List Paragraph,列出段落,列出段落1,List Paragraph21,Listeafsnit1,Parágrafo da Lista1,リスト段落1,リスト段落"/>
    <w:basedOn w:val="Normal"/>
    <w:link w:val="ListParagraphChar"/>
    <w:uiPriority w:val="34"/>
    <w:qFormat/>
    <w:rsid w:val="006D0E33"/>
    <w:pPr>
      <w:ind w:left="720"/>
      <w:contextualSpacing/>
    </w:pPr>
  </w:style>
  <w:style w:type="character" w:customStyle="1" w:styleId="ListParagraphChar">
    <w:name w:val="List Paragraph Char"/>
    <w:aliases w:val="L Char,List Paragraph1 Char,List Paragraph11 Char,List Paragraph2 Char,Recommendation Char,Bulleted Para Char,NFP GP Bulleted List Char,FooterText Char,numbered Char,Paragraphe de liste1 Char,Bulletr List Paragraph Char,列出段落 Char"/>
    <w:link w:val="ListParagraph"/>
    <w:uiPriority w:val="34"/>
    <w:rsid w:val="006D0E33"/>
  </w:style>
  <w:style w:type="character" w:styleId="CommentReference">
    <w:name w:val="annotation reference"/>
    <w:basedOn w:val="DefaultParagraphFont"/>
    <w:uiPriority w:val="99"/>
    <w:semiHidden/>
    <w:unhideWhenUsed/>
    <w:rsid w:val="005D5C5E"/>
    <w:rPr>
      <w:sz w:val="16"/>
      <w:szCs w:val="16"/>
    </w:rPr>
  </w:style>
  <w:style w:type="paragraph" w:styleId="CommentText">
    <w:name w:val="annotation text"/>
    <w:basedOn w:val="Normal"/>
    <w:link w:val="CommentTextChar"/>
    <w:uiPriority w:val="99"/>
    <w:semiHidden/>
    <w:unhideWhenUsed/>
    <w:rsid w:val="005D5C5E"/>
    <w:pPr>
      <w:spacing w:line="240" w:lineRule="auto"/>
    </w:pPr>
    <w:rPr>
      <w:sz w:val="20"/>
      <w:szCs w:val="20"/>
    </w:rPr>
  </w:style>
  <w:style w:type="character" w:customStyle="1" w:styleId="CommentTextChar">
    <w:name w:val="Comment Text Char"/>
    <w:basedOn w:val="DefaultParagraphFont"/>
    <w:link w:val="CommentText"/>
    <w:uiPriority w:val="99"/>
    <w:semiHidden/>
    <w:rsid w:val="005D5C5E"/>
    <w:rPr>
      <w:sz w:val="20"/>
      <w:szCs w:val="20"/>
    </w:rPr>
  </w:style>
  <w:style w:type="paragraph" w:styleId="CommentSubject">
    <w:name w:val="annotation subject"/>
    <w:basedOn w:val="CommentText"/>
    <w:next w:val="CommentText"/>
    <w:link w:val="CommentSubjectChar"/>
    <w:uiPriority w:val="99"/>
    <w:semiHidden/>
    <w:unhideWhenUsed/>
    <w:rsid w:val="005D5C5E"/>
    <w:rPr>
      <w:b/>
      <w:bCs/>
    </w:rPr>
  </w:style>
  <w:style w:type="character" w:customStyle="1" w:styleId="CommentSubjectChar">
    <w:name w:val="Comment Subject Char"/>
    <w:basedOn w:val="CommentTextChar"/>
    <w:link w:val="CommentSubject"/>
    <w:uiPriority w:val="99"/>
    <w:semiHidden/>
    <w:rsid w:val="005D5C5E"/>
    <w:rPr>
      <w:b/>
      <w:bCs/>
      <w:sz w:val="20"/>
      <w:szCs w:val="20"/>
    </w:rPr>
  </w:style>
  <w:style w:type="paragraph" w:styleId="BalloonText">
    <w:name w:val="Balloon Text"/>
    <w:basedOn w:val="Normal"/>
    <w:link w:val="BalloonTextChar"/>
    <w:uiPriority w:val="99"/>
    <w:semiHidden/>
    <w:unhideWhenUsed/>
    <w:rsid w:val="005D5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C5E"/>
    <w:rPr>
      <w:rFonts w:ascii="Segoe UI" w:hAnsi="Segoe UI" w:cs="Segoe UI"/>
      <w:sz w:val="18"/>
      <w:szCs w:val="18"/>
    </w:rPr>
  </w:style>
  <w:style w:type="paragraph" w:styleId="Revision">
    <w:name w:val="Revision"/>
    <w:hidden/>
    <w:uiPriority w:val="99"/>
    <w:semiHidden/>
    <w:rsid w:val="00393D5B"/>
    <w:pPr>
      <w:spacing w:after="0" w:line="240" w:lineRule="auto"/>
    </w:pPr>
  </w:style>
  <w:style w:type="paragraph" w:styleId="Header">
    <w:name w:val="header"/>
    <w:basedOn w:val="Normal"/>
    <w:link w:val="HeaderChar"/>
    <w:uiPriority w:val="99"/>
    <w:unhideWhenUsed/>
    <w:rsid w:val="00393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D5B"/>
  </w:style>
  <w:style w:type="paragraph" w:styleId="Footer">
    <w:name w:val="footer"/>
    <w:basedOn w:val="Normal"/>
    <w:link w:val="FooterChar"/>
    <w:uiPriority w:val="99"/>
    <w:unhideWhenUsed/>
    <w:rsid w:val="00393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D5B"/>
  </w:style>
  <w:style w:type="paragraph" w:customStyle="1" w:styleId="SecurityDLM">
    <w:name w:val="Security DLM"/>
    <w:basedOn w:val="Normal"/>
    <w:uiPriority w:val="99"/>
    <w:rsid w:val="0079150F"/>
    <w:pPr>
      <w:spacing w:before="240" w:after="240" w:line="180" w:lineRule="exact"/>
      <w:ind w:left="6577"/>
      <w:contextualSpacing/>
    </w:pPr>
    <w:rPr>
      <w:rFonts w:eastAsiaTheme="minorEastAsia" w:cs="Times New Roman"/>
      <w:caps/>
      <w:color w:val="4472C4" w:themeColor="accent5"/>
      <w:sz w:val="18"/>
      <w:szCs w:val="18"/>
      <w:lang w:eastAsia="en-AU"/>
    </w:rPr>
  </w:style>
  <w:style w:type="character" w:styleId="Hyperlink">
    <w:name w:val="Hyperlink"/>
    <w:basedOn w:val="DefaultParagraphFont"/>
    <w:uiPriority w:val="99"/>
    <w:unhideWhenUsed/>
    <w:rsid w:val="00A12AF8"/>
    <w:rPr>
      <w:color w:val="0563C1" w:themeColor="hyperlink"/>
      <w:u w:val="single"/>
    </w:rPr>
  </w:style>
  <w:style w:type="character" w:styleId="FollowedHyperlink">
    <w:name w:val="FollowedHyperlink"/>
    <w:basedOn w:val="DefaultParagraphFont"/>
    <w:uiPriority w:val="99"/>
    <w:semiHidden/>
    <w:unhideWhenUsed/>
    <w:rsid w:val="00316D33"/>
    <w:rPr>
      <w:color w:val="954F72" w:themeColor="followedHyperlink"/>
      <w:u w:val="single"/>
    </w:rPr>
  </w:style>
  <w:style w:type="paragraph" w:customStyle="1" w:styleId="Default">
    <w:name w:val="Default"/>
    <w:rsid w:val="0007304D"/>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F31F8A"/>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022C85"/>
    <w:pPr>
      <w:numPr>
        <w:numId w:val="12"/>
      </w:numPr>
      <w:spacing w:before="40" w:after="80" w:line="280" w:lineRule="atLeast"/>
    </w:pPr>
    <w:rPr>
      <w:rFonts w:ascii="Arial" w:eastAsia="Times New Roman" w:hAnsi="Arial" w:cs="Times New Roman"/>
      <w:iCs/>
      <w:sz w:val="20"/>
      <w:szCs w:val="20"/>
    </w:rPr>
  </w:style>
  <w:style w:type="character" w:customStyle="1" w:styleId="Heading1Char">
    <w:name w:val="Heading 1 Char"/>
    <w:basedOn w:val="DefaultParagraphFont"/>
    <w:link w:val="Heading1"/>
    <w:uiPriority w:val="9"/>
    <w:rsid w:val="00926B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6B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26BE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968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7978">
      <w:bodyDiv w:val="1"/>
      <w:marLeft w:val="0"/>
      <w:marRight w:val="0"/>
      <w:marTop w:val="0"/>
      <w:marBottom w:val="0"/>
      <w:divBdr>
        <w:top w:val="none" w:sz="0" w:space="0" w:color="auto"/>
        <w:left w:val="none" w:sz="0" w:space="0" w:color="auto"/>
        <w:bottom w:val="none" w:sz="0" w:space="0" w:color="auto"/>
        <w:right w:val="none" w:sz="0" w:space="0" w:color="auto"/>
      </w:divBdr>
      <w:divsChild>
        <w:div w:id="1886868910">
          <w:marLeft w:val="0"/>
          <w:marRight w:val="0"/>
          <w:marTop w:val="0"/>
          <w:marBottom w:val="0"/>
          <w:divBdr>
            <w:top w:val="none" w:sz="0" w:space="0" w:color="auto"/>
            <w:left w:val="none" w:sz="0" w:space="0" w:color="auto"/>
            <w:bottom w:val="none" w:sz="0" w:space="0" w:color="auto"/>
            <w:right w:val="none" w:sz="0" w:space="0" w:color="auto"/>
          </w:divBdr>
          <w:divsChild>
            <w:div w:id="248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159">
      <w:bodyDiv w:val="1"/>
      <w:marLeft w:val="0"/>
      <w:marRight w:val="0"/>
      <w:marTop w:val="0"/>
      <w:marBottom w:val="0"/>
      <w:divBdr>
        <w:top w:val="none" w:sz="0" w:space="0" w:color="auto"/>
        <w:left w:val="none" w:sz="0" w:space="0" w:color="auto"/>
        <w:bottom w:val="none" w:sz="0" w:space="0" w:color="auto"/>
        <w:right w:val="none" w:sz="0" w:space="0" w:color="auto"/>
      </w:divBdr>
    </w:div>
    <w:div w:id="179701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sapph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hmrc.us19.list-manage.com/track/click?u=8ba743d75bb0c43885663938d&amp;id=f7921632b9&amp;e=a29c494af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hmrc.gov.au/about-us/news-centre/peer-review-ideas-grants-2021" TargetMode="External"/><Relationship Id="rId4" Type="http://schemas.openxmlformats.org/officeDocument/2006/relationships/webSettings" Target="webSettings.xml"/><Relationship Id="rId9" Type="http://schemas.openxmlformats.org/officeDocument/2006/relationships/hyperlink" Target="https://www.nhmrc.gov.au/about-us/publications/nhmrcs-gender-equality-strategy-2018-202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National Health and Medical Research Council</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Fairbairn, Nicholas</dc:creator>
  <cp:keywords/>
  <dc:description/>
  <cp:lastModifiedBy>Rogers, Melinda</cp:lastModifiedBy>
  <cp:revision>3</cp:revision>
  <dcterms:created xsi:type="dcterms:W3CDTF">2021-03-03T00:57:00Z</dcterms:created>
  <dcterms:modified xsi:type="dcterms:W3CDTF">2021-03-03T00:58:00Z</dcterms:modified>
</cp:coreProperties>
</file>